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宋体" w:hAnsi="宋体" w:eastAsia="宋体"/>
          <w:sz w:val="32"/>
          <w:szCs w:val="24"/>
        </w:rPr>
      </w:pPr>
      <w:r>
        <w:rPr>
          <w:rFonts w:hint="eastAsia" w:ascii="宋体" w:hAnsi="宋体" w:eastAsia="宋体"/>
          <w:sz w:val="32"/>
          <w:szCs w:val="24"/>
          <w:lang w:val="en-US" w:eastAsia="zh-CN"/>
        </w:rPr>
        <w:t>嵩山实验室北龙湖园区展厅项目</w:t>
      </w:r>
    </w:p>
    <w:p>
      <w:pPr>
        <w:spacing w:beforeLines="0" w:afterLines="0"/>
        <w:jc w:val="center"/>
        <w:rPr>
          <w:rFonts w:hint="eastAsia" w:ascii="宋体" w:hAnsi="宋体" w:eastAsia="宋体"/>
          <w:sz w:val="32"/>
          <w:szCs w:val="24"/>
          <w:lang w:eastAsia="zh-CN"/>
        </w:rPr>
      </w:pPr>
      <w:r>
        <w:rPr>
          <w:rFonts w:hint="eastAsia" w:ascii="宋体" w:hAnsi="宋体" w:eastAsia="宋体"/>
          <w:sz w:val="32"/>
          <w:szCs w:val="24"/>
        </w:rPr>
        <w:t>工程量清单编制</w:t>
      </w:r>
      <w:r>
        <w:rPr>
          <w:rFonts w:hint="eastAsia" w:ascii="宋体" w:hAnsi="宋体"/>
          <w:sz w:val="32"/>
          <w:szCs w:val="24"/>
          <w:lang w:val="en-US" w:eastAsia="zh-CN"/>
        </w:rPr>
        <w:t>说明</w:t>
      </w:r>
    </w:p>
    <w:p>
      <w:pPr>
        <w:spacing w:beforeLines="0" w:afterLines="0"/>
        <w:ind w:firstLine="420" w:firstLineChars="200"/>
        <w:jc w:val="left"/>
        <w:rPr>
          <w:rFonts w:hint="eastAsia" w:ascii="黑体" w:hAnsi="黑体" w:eastAsia="黑体"/>
          <w:sz w:val="21"/>
          <w:szCs w:val="24"/>
        </w:rPr>
      </w:pPr>
      <w:r>
        <w:rPr>
          <w:rFonts w:hint="eastAsia" w:ascii="黑体" w:hAnsi="黑体" w:eastAsia="黑体"/>
          <w:sz w:val="21"/>
          <w:szCs w:val="24"/>
        </w:rPr>
        <w:t>一、工程概况</w:t>
      </w:r>
    </w:p>
    <w:p>
      <w:pPr>
        <w:spacing w:beforeLines="0" w:afterLines="0"/>
        <w:ind w:firstLine="420" w:firstLineChars="200"/>
        <w:jc w:val="left"/>
        <w:rPr>
          <w:rFonts w:hint="eastAsia" w:ascii="宋体" w:hAnsi="宋体"/>
          <w:sz w:val="21"/>
          <w:szCs w:val="24"/>
          <w:lang w:val="en-US" w:eastAsia="zh-CN"/>
        </w:rPr>
      </w:pPr>
      <w:r>
        <w:rPr>
          <w:rFonts w:hint="eastAsia" w:ascii="宋体" w:hAnsi="宋体" w:eastAsia="宋体"/>
          <w:sz w:val="21"/>
          <w:szCs w:val="24"/>
          <w:lang w:val="en-US" w:eastAsia="zh-CN"/>
        </w:rPr>
        <w:t>嵩山实验室北龙湖园区展厅项目装修面积约1488m²</w:t>
      </w:r>
      <w:r>
        <w:rPr>
          <w:rFonts w:hint="eastAsia" w:ascii="宋体" w:hAnsi="宋体"/>
          <w:sz w:val="21"/>
          <w:szCs w:val="24"/>
          <w:lang w:val="en-US" w:eastAsia="zh-CN"/>
        </w:rPr>
        <w:t>，本次1层展厅改造只为内部使用,不对外开放，展厅容纳人数不超过150人。本次装修工程未改变原建筑防火分区、承重结构等，装修后结构体系安全性不受影响。消防喷淋及消火栓系统、防排烟系统、火灾自动报警系统、应急照明系统等详装修二次机电图纸。</w:t>
      </w:r>
    </w:p>
    <w:p>
      <w:pPr>
        <w:spacing w:beforeLines="0" w:afterLines="0"/>
        <w:ind w:firstLine="420" w:firstLineChars="200"/>
        <w:jc w:val="left"/>
        <w:rPr>
          <w:rFonts w:hint="eastAsia" w:ascii="黑体" w:hAnsi="黑体" w:eastAsia="黑体"/>
          <w:sz w:val="21"/>
          <w:szCs w:val="24"/>
        </w:rPr>
      </w:pPr>
      <w:r>
        <w:rPr>
          <w:rFonts w:hint="eastAsia" w:ascii="黑体" w:hAnsi="黑体" w:eastAsia="黑体"/>
          <w:sz w:val="21"/>
          <w:szCs w:val="24"/>
        </w:rPr>
        <w:t>二、编制依据</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color w:val="0000FF"/>
          <w:sz w:val="21"/>
          <w:szCs w:val="21"/>
          <w:lang w:eastAsia="zh-CN"/>
        </w:rPr>
      </w:pPr>
      <w:r>
        <w:rPr>
          <w:rFonts w:hint="eastAsia" w:ascii="TimesNewRomanPSMT" w:hAnsi="TimesNewRomanPSMT" w:eastAsia="TimesNewRomanPSMT"/>
          <w:sz w:val="21"/>
          <w:szCs w:val="21"/>
        </w:rPr>
        <w:t>1</w:t>
      </w:r>
      <w:r>
        <w:rPr>
          <w:rFonts w:hint="eastAsia" w:ascii="宋体" w:hAnsi="宋体" w:eastAsia="宋体"/>
          <w:sz w:val="21"/>
          <w:szCs w:val="21"/>
        </w:rPr>
        <w:t>、“</w:t>
      </w:r>
      <w:r>
        <w:rPr>
          <w:rFonts w:hint="eastAsia" w:ascii="宋体" w:hAnsi="宋体" w:eastAsia="宋体"/>
          <w:sz w:val="21"/>
          <w:szCs w:val="21"/>
          <w:lang w:val="en-US" w:eastAsia="zh-CN"/>
        </w:rPr>
        <w:t>嵩山实验室北龙湖园区展厅项目</w:t>
      </w:r>
      <w:r>
        <w:rPr>
          <w:rFonts w:hint="eastAsia" w:ascii="宋体" w:hAnsi="宋体" w:eastAsia="宋体"/>
          <w:color w:val="auto"/>
          <w:sz w:val="21"/>
          <w:szCs w:val="21"/>
        </w:rPr>
        <w:t>”施工图纸</w:t>
      </w:r>
      <w:r>
        <w:rPr>
          <w:rFonts w:hint="eastAsia" w:ascii="宋体" w:hAnsi="宋体"/>
          <w:color w:val="auto"/>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sz w:val="21"/>
          <w:szCs w:val="21"/>
        </w:rPr>
      </w:pPr>
      <w:r>
        <w:rPr>
          <w:rFonts w:hint="eastAsia" w:ascii="TimesNewRomanPSMT" w:hAnsi="TimesNewRomanPSMT" w:eastAsia="TimesNewRomanPSMT"/>
          <w:sz w:val="21"/>
          <w:szCs w:val="21"/>
        </w:rPr>
        <w:t>2</w:t>
      </w:r>
      <w:r>
        <w:rPr>
          <w:rFonts w:hint="eastAsia" w:ascii="宋体" w:hAnsi="宋体" w:eastAsia="宋体"/>
          <w:sz w:val="21"/>
          <w:szCs w:val="21"/>
        </w:rPr>
        <w:t>、《建设工程工程量清单计价规范》（</w:t>
      </w:r>
      <w:r>
        <w:rPr>
          <w:rFonts w:hint="eastAsia" w:ascii="TimesNewRomanPSMT" w:hAnsi="TimesNewRomanPSMT" w:eastAsia="TimesNewRomanPSMT"/>
          <w:sz w:val="21"/>
          <w:szCs w:val="21"/>
        </w:rPr>
        <w:t>GB50500-</w:t>
      </w:r>
      <w:r>
        <w:rPr>
          <w:rFonts w:hint="eastAsia" w:ascii="TimesNewRomanPSMT" w:hAnsi="TimesNewRomanPSMT"/>
          <w:sz w:val="21"/>
          <w:szCs w:val="21"/>
          <w:lang w:val="en-US" w:eastAsia="zh-CN"/>
        </w:rPr>
        <w:t>2013</w:t>
      </w:r>
      <w:r>
        <w:rPr>
          <w:rFonts w:hint="eastAsia" w:ascii="宋体" w:hAnsi="宋体" w:eastAsia="宋体"/>
          <w:sz w:val="21"/>
          <w:szCs w:val="21"/>
        </w:rPr>
        <w:t>）</w:t>
      </w:r>
      <w:r>
        <w:rPr>
          <w:rFonts w:hint="eastAsia" w:ascii="宋体" w:hAnsi="宋体"/>
          <w:sz w:val="21"/>
          <w:szCs w:val="21"/>
          <w:lang w:eastAsia="zh-CN"/>
        </w:rPr>
        <w:t>、</w:t>
      </w:r>
      <w:r>
        <w:rPr>
          <w:rFonts w:hint="eastAsia" w:ascii="宋体" w:hAnsi="宋体" w:eastAsia="宋体"/>
          <w:sz w:val="21"/>
          <w:szCs w:val="21"/>
        </w:rPr>
        <w:t>《</w:t>
      </w:r>
      <w:r>
        <w:rPr>
          <w:rFonts w:hint="eastAsia" w:ascii="宋体" w:hAnsi="宋体"/>
          <w:sz w:val="21"/>
          <w:szCs w:val="21"/>
          <w:lang w:val="en-US" w:eastAsia="zh-CN"/>
        </w:rPr>
        <w:t>房屋建筑与装饰工程</w:t>
      </w:r>
      <w:r>
        <w:rPr>
          <w:rFonts w:hint="eastAsia" w:ascii="宋体" w:hAnsi="宋体" w:eastAsia="宋体"/>
          <w:sz w:val="21"/>
          <w:szCs w:val="21"/>
        </w:rPr>
        <w:t>工程量清单计</w:t>
      </w:r>
      <w:r>
        <w:rPr>
          <w:rFonts w:hint="eastAsia" w:ascii="宋体" w:hAnsi="宋体"/>
          <w:sz w:val="21"/>
          <w:szCs w:val="21"/>
          <w:lang w:val="en-US" w:eastAsia="zh-CN"/>
        </w:rPr>
        <w:t>算</w:t>
      </w:r>
      <w:r>
        <w:rPr>
          <w:rFonts w:hint="eastAsia" w:ascii="宋体" w:hAnsi="宋体" w:eastAsia="宋体"/>
          <w:sz w:val="21"/>
          <w:szCs w:val="21"/>
        </w:rPr>
        <w:t>规范》（</w:t>
      </w:r>
      <w:r>
        <w:rPr>
          <w:rFonts w:hint="eastAsia" w:ascii="TimesNewRomanPSMT" w:hAnsi="TimesNewRomanPSMT" w:eastAsia="TimesNewRomanPSMT"/>
          <w:sz w:val="21"/>
          <w:szCs w:val="21"/>
        </w:rPr>
        <w:t>GB50</w:t>
      </w:r>
      <w:r>
        <w:rPr>
          <w:rFonts w:hint="eastAsia" w:ascii="TimesNewRomanPSMT" w:hAnsi="TimesNewRomanPSMT"/>
          <w:sz w:val="21"/>
          <w:szCs w:val="21"/>
          <w:lang w:val="en-US" w:eastAsia="zh-CN"/>
        </w:rPr>
        <w:t>854</w:t>
      </w:r>
      <w:r>
        <w:rPr>
          <w:rFonts w:hint="eastAsia" w:ascii="TimesNewRomanPSMT" w:hAnsi="TimesNewRomanPSMT" w:eastAsia="TimesNewRomanPSMT"/>
          <w:sz w:val="21"/>
          <w:szCs w:val="21"/>
        </w:rPr>
        <w:t>-</w:t>
      </w:r>
      <w:r>
        <w:rPr>
          <w:rFonts w:hint="eastAsia" w:ascii="TimesNewRomanPSMT" w:hAnsi="TimesNewRomanPSMT"/>
          <w:sz w:val="21"/>
          <w:szCs w:val="21"/>
          <w:lang w:val="en-US" w:eastAsia="zh-CN"/>
        </w:rPr>
        <w:t>2013</w:t>
      </w:r>
      <w:r>
        <w:rPr>
          <w:rFonts w:hint="eastAsia" w:ascii="宋体" w:hAnsi="宋体" w:eastAsia="宋体"/>
          <w:sz w:val="21"/>
          <w:szCs w:val="21"/>
        </w:rPr>
        <w:t>）</w:t>
      </w:r>
      <w:r>
        <w:rPr>
          <w:rFonts w:hint="eastAsia" w:ascii="宋体" w:hAnsi="宋体"/>
          <w:sz w:val="21"/>
          <w:szCs w:val="21"/>
          <w:lang w:eastAsia="zh-CN"/>
        </w:rPr>
        <w:t>、《通用安装工程工程量计算规范》</w:t>
      </w:r>
      <w:r>
        <w:rPr>
          <w:rFonts w:hint="eastAsia" w:ascii="宋体" w:hAnsi="宋体" w:eastAsia="宋体"/>
          <w:sz w:val="21"/>
          <w:szCs w:val="21"/>
        </w:rPr>
        <w:t>（</w:t>
      </w:r>
      <w:r>
        <w:rPr>
          <w:rFonts w:hint="eastAsia" w:ascii="TimesNewRomanPSMT" w:hAnsi="TimesNewRomanPSMT" w:eastAsia="TimesNewRomanPSMT"/>
          <w:sz w:val="21"/>
          <w:szCs w:val="21"/>
        </w:rPr>
        <w:t>GB50</w:t>
      </w:r>
      <w:r>
        <w:rPr>
          <w:rFonts w:hint="eastAsia" w:ascii="TimesNewRomanPSMT" w:hAnsi="TimesNewRomanPSMT"/>
          <w:sz w:val="21"/>
          <w:szCs w:val="21"/>
          <w:lang w:val="en-US" w:eastAsia="zh-CN"/>
        </w:rPr>
        <w:t>856</w:t>
      </w:r>
      <w:r>
        <w:rPr>
          <w:rFonts w:hint="eastAsia" w:ascii="TimesNewRomanPSMT" w:hAnsi="TimesNewRomanPSMT" w:eastAsia="TimesNewRomanPSMT"/>
          <w:sz w:val="21"/>
          <w:szCs w:val="21"/>
        </w:rPr>
        <w:t>-</w:t>
      </w:r>
      <w:r>
        <w:rPr>
          <w:rFonts w:hint="eastAsia" w:ascii="TimesNewRomanPSMT" w:hAnsi="TimesNewRomanPSMT"/>
          <w:sz w:val="21"/>
          <w:szCs w:val="21"/>
          <w:lang w:val="en-US" w:eastAsia="zh-CN"/>
        </w:rPr>
        <w:t>2013</w:t>
      </w:r>
      <w:r>
        <w:rPr>
          <w:rFonts w:hint="eastAsia" w:ascii="宋体" w:hAnsi="宋体" w:eastAsia="宋体"/>
          <w:sz w:val="21"/>
          <w:szCs w:val="21"/>
        </w:rPr>
        <w:t>）；</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sz w:val="21"/>
          <w:szCs w:val="21"/>
          <w:lang w:eastAsia="zh-CN"/>
        </w:rPr>
      </w:pPr>
      <w:r>
        <w:rPr>
          <w:rFonts w:hint="eastAsia" w:ascii="TimesNewRomanPSMT" w:hAnsi="TimesNewRomanPSMT" w:eastAsia="TimesNewRomanPSMT"/>
          <w:sz w:val="21"/>
          <w:szCs w:val="21"/>
        </w:rPr>
        <w:t>3</w:t>
      </w:r>
      <w:r>
        <w:rPr>
          <w:rFonts w:hint="eastAsia" w:ascii="宋体" w:hAnsi="宋体" w:eastAsia="宋体"/>
          <w:sz w:val="21"/>
          <w:szCs w:val="21"/>
        </w:rPr>
        <w:t>、《河南省房屋建筑与装饰工程预算定额》(HA01-31-2016)</w:t>
      </w:r>
      <w:r>
        <w:rPr>
          <w:rFonts w:hint="eastAsia" w:ascii="宋体" w:hAnsi="宋体"/>
          <w:sz w:val="21"/>
          <w:szCs w:val="21"/>
          <w:lang w:eastAsia="zh-CN"/>
        </w:rPr>
        <w:t>、</w:t>
      </w:r>
      <w:r>
        <w:rPr>
          <w:rFonts w:hint="eastAsia" w:ascii="宋体" w:hAnsi="宋体" w:eastAsia="宋体"/>
          <w:sz w:val="21"/>
          <w:szCs w:val="21"/>
        </w:rPr>
        <w:t>《河南省通用安装工程预算定额》(HA02-31-2016)</w:t>
      </w:r>
      <w:r>
        <w:rPr>
          <w:rFonts w:hint="eastAsia" w:ascii="宋体" w:hAnsi="宋体" w:eastAsia="宋体"/>
          <w:sz w:val="21"/>
          <w:szCs w:val="21"/>
          <w:lang w:eastAsia="zh-CN"/>
        </w:rPr>
        <w:t>；</w:t>
      </w:r>
    </w:p>
    <w:p>
      <w:pPr>
        <w:pStyle w:val="2"/>
        <w:keepNext w:val="0"/>
        <w:keepLines w:val="0"/>
        <w:pageBreakBefore w:val="0"/>
        <w:widowControl/>
        <w:kinsoku/>
        <w:wordWrap/>
        <w:overflowPunct/>
        <w:topLinePunct w:val="0"/>
        <w:autoSpaceDE/>
        <w:autoSpaceDN/>
        <w:bidi w:val="0"/>
        <w:adjustRightInd/>
        <w:snapToGrid w:val="0"/>
        <w:spacing w:before="0" w:line="240" w:lineRule="auto"/>
        <w:textAlignment w:val="auto"/>
        <w:rPr>
          <w:rFonts w:hint="eastAsia"/>
          <w:sz w:val="21"/>
          <w:szCs w:val="21"/>
          <w:lang w:eastAsia="zh-CN"/>
        </w:rPr>
      </w:pPr>
      <w:r>
        <w:rPr>
          <w:rFonts w:hint="eastAsia"/>
          <w:sz w:val="21"/>
          <w:szCs w:val="21"/>
          <w:lang w:val="en-US" w:eastAsia="zh-CN"/>
        </w:rPr>
        <w:t>4、</w:t>
      </w:r>
      <w:r>
        <w:rPr>
          <w:rFonts w:hint="eastAsia"/>
          <w:sz w:val="21"/>
          <w:szCs w:val="21"/>
          <w:lang w:eastAsia="zh-CN"/>
        </w:rPr>
        <w:t>《建筑工程施工质量验收统一标准》（GB50300-2013）、《建筑装饰装修工程质量验收标准》（GB50210-2018）、</w:t>
      </w:r>
      <w:r>
        <w:rPr>
          <w:rFonts w:hint="eastAsia"/>
          <w:sz w:val="21"/>
          <w:szCs w:val="21"/>
          <w:lang w:val="en-US" w:eastAsia="zh-CN"/>
        </w:rPr>
        <w:t>《建筑电气工程施工质量验收规范》（GB 50303-2015）。</w:t>
      </w:r>
    </w:p>
    <w:p>
      <w:pPr>
        <w:spacing w:beforeLines="0" w:afterLines="0"/>
        <w:ind w:firstLine="420" w:firstLineChars="200"/>
        <w:jc w:val="left"/>
        <w:rPr>
          <w:rFonts w:hint="eastAsia" w:ascii="黑体" w:hAnsi="黑体" w:eastAsia="黑体"/>
          <w:sz w:val="21"/>
          <w:szCs w:val="24"/>
        </w:rPr>
      </w:pPr>
      <w:r>
        <w:rPr>
          <w:rFonts w:hint="eastAsia" w:ascii="黑体" w:hAnsi="黑体" w:eastAsia="黑体"/>
          <w:sz w:val="21"/>
          <w:szCs w:val="24"/>
        </w:rPr>
        <w:t>三、编制责任</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委托方：对提供资料的真实性、合法性、完整性负责。</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受托方：对</w:t>
      </w:r>
      <w:r>
        <w:rPr>
          <w:rFonts w:hint="eastAsia" w:ascii="宋体" w:hAnsi="宋体"/>
          <w:sz w:val="21"/>
          <w:szCs w:val="24"/>
          <w:lang w:val="en-US" w:eastAsia="zh-CN"/>
        </w:rPr>
        <w:t>本项目工程量清单</w:t>
      </w:r>
      <w:r>
        <w:rPr>
          <w:rFonts w:hint="eastAsia" w:ascii="宋体" w:hAnsi="宋体" w:eastAsia="宋体"/>
          <w:sz w:val="21"/>
          <w:szCs w:val="24"/>
        </w:rPr>
        <w:t>编制的</w:t>
      </w:r>
      <w:r>
        <w:rPr>
          <w:rFonts w:hint="eastAsia" w:ascii="宋体" w:hAnsi="宋体"/>
          <w:sz w:val="21"/>
          <w:szCs w:val="24"/>
          <w:lang w:val="en-US" w:eastAsia="zh-CN"/>
        </w:rPr>
        <w:t>准确性、</w:t>
      </w:r>
      <w:r>
        <w:rPr>
          <w:rFonts w:hint="eastAsia" w:ascii="宋体" w:hAnsi="宋体" w:eastAsia="宋体"/>
          <w:sz w:val="21"/>
          <w:szCs w:val="24"/>
        </w:rPr>
        <w:t>真实性、合法性负责。</w:t>
      </w:r>
    </w:p>
    <w:p>
      <w:pPr>
        <w:spacing w:beforeLines="0" w:afterLines="0"/>
        <w:ind w:firstLine="420" w:firstLineChars="200"/>
        <w:jc w:val="left"/>
        <w:rPr>
          <w:rFonts w:hint="eastAsia" w:ascii="黑体" w:hAnsi="黑体" w:eastAsia="黑体"/>
          <w:sz w:val="21"/>
          <w:szCs w:val="24"/>
        </w:rPr>
      </w:pPr>
      <w:r>
        <w:rPr>
          <w:rFonts w:hint="eastAsia" w:ascii="黑体" w:hAnsi="黑体" w:eastAsia="黑体"/>
          <w:sz w:val="21"/>
          <w:szCs w:val="24"/>
        </w:rPr>
        <w:t>四、编制说明</w:t>
      </w:r>
    </w:p>
    <w:p>
      <w:pPr>
        <w:spacing w:beforeLines="0" w:afterLines="0"/>
        <w:ind w:firstLine="420" w:firstLineChars="200"/>
        <w:jc w:val="left"/>
        <w:rPr>
          <w:rFonts w:hint="eastAsia" w:ascii="宋体" w:hAnsi="宋体" w:eastAsia="宋体"/>
          <w:sz w:val="21"/>
          <w:szCs w:val="24"/>
        </w:rPr>
      </w:pPr>
      <w:r>
        <w:rPr>
          <w:rFonts w:hint="eastAsia" w:ascii="TimesNewRomanPSMT" w:hAnsi="TimesNewRomanPSMT" w:eastAsia="TimesNewRomanPSMT"/>
          <w:sz w:val="21"/>
          <w:szCs w:val="24"/>
        </w:rPr>
        <w:t>1</w:t>
      </w:r>
      <w:r>
        <w:rPr>
          <w:rFonts w:hint="eastAsia" w:ascii="宋体" w:hAnsi="宋体" w:eastAsia="宋体"/>
          <w:sz w:val="21"/>
          <w:szCs w:val="24"/>
        </w:rPr>
        <w:t>、一般说明</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1</w:t>
      </w:r>
      <w:r>
        <w:rPr>
          <w:rFonts w:hint="eastAsia" w:ascii="宋体" w:hAnsi="宋体" w:eastAsia="宋体"/>
          <w:sz w:val="21"/>
          <w:szCs w:val="24"/>
        </w:rPr>
        <w:t>）施工现场情况：以现场踏勘情况为准。</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2</w:t>
      </w:r>
      <w:r>
        <w:rPr>
          <w:rFonts w:hint="eastAsia" w:ascii="宋体" w:hAnsi="宋体" w:eastAsia="宋体"/>
          <w:sz w:val="21"/>
          <w:szCs w:val="24"/>
        </w:rPr>
        <w:t>）交通运输情况：以现场踏勘情况为准。</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3</w:t>
      </w:r>
      <w:r>
        <w:rPr>
          <w:rFonts w:hint="eastAsia" w:ascii="宋体" w:hAnsi="宋体" w:eastAsia="宋体"/>
          <w:sz w:val="21"/>
          <w:szCs w:val="24"/>
        </w:rPr>
        <w:t>）环境保护要求；满足省、市及当地政府对环境保护的相关要求和规定。</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4</w:t>
      </w:r>
      <w:r>
        <w:rPr>
          <w:rFonts w:hint="eastAsia" w:ascii="宋体" w:hAnsi="宋体" w:eastAsia="宋体"/>
          <w:sz w:val="21"/>
          <w:szCs w:val="24"/>
        </w:rPr>
        <w:t>）</w:t>
      </w:r>
      <w:r>
        <w:rPr>
          <w:rStyle w:val="5"/>
          <w:rFonts w:hint="eastAsia"/>
          <w:color w:val="auto"/>
          <w:sz w:val="21"/>
          <w:szCs w:val="21"/>
        </w:rPr>
        <w:t>工程量清单的项目特征应结合图纸和规范的要求进行描述</w:t>
      </w:r>
      <w:r>
        <w:rPr>
          <w:rStyle w:val="5"/>
          <w:rFonts w:hint="eastAsia"/>
          <w:color w:val="auto"/>
          <w:sz w:val="21"/>
          <w:szCs w:val="21"/>
          <w:lang w:eastAsia="zh-CN"/>
        </w:rPr>
        <w:t>，</w:t>
      </w:r>
      <w:r>
        <w:rPr>
          <w:rStyle w:val="5"/>
          <w:rFonts w:hint="eastAsia"/>
          <w:color w:val="auto"/>
          <w:sz w:val="21"/>
          <w:szCs w:val="21"/>
        </w:rPr>
        <w:t>除另有规定和说明外，应视为已包含图纸和规范要求完成该清单项目所需的必要工作。</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5</w:t>
      </w:r>
      <w:r>
        <w:rPr>
          <w:rFonts w:hint="eastAsia" w:ascii="宋体" w:hAnsi="宋体" w:eastAsia="宋体"/>
          <w:sz w:val="21"/>
          <w:szCs w:val="24"/>
        </w:rPr>
        <w:t>）</w:t>
      </w:r>
      <w:r>
        <w:rPr>
          <w:rFonts w:hint="eastAsia" w:ascii="宋体" w:hAnsi="宋体" w:cs="宋体"/>
          <w:color w:val="auto"/>
          <w:sz w:val="21"/>
          <w:szCs w:val="21"/>
        </w:rPr>
        <w:t>本标准所表述的安装，除另有说明外，均包括材料（半成品）、构件或设备的供应和安装。</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6</w:t>
      </w:r>
      <w:r>
        <w:rPr>
          <w:rFonts w:hint="eastAsia" w:ascii="宋体" w:hAnsi="宋体" w:eastAsia="宋体"/>
          <w:sz w:val="21"/>
          <w:szCs w:val="24"/>
        </w:rPr>
        <w:t>）本工程量清单中的分部分项工程量及措施项目工程量均是根据本工程施工图、按照“工程量计算规范”的规定进行计算的，仅作为施工企业投标报价的共同基础，不能作为最终结算与支付价款的依据。</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7</w:t>
      </w:r>
      <w:r>
        <w:rPr>
          <w:rFonts w:hint="eastAsia" w:ascii="宋体" w:hAnsi="宋体" w:eastAsia="宋体"/>
          <w:sz w:val="21"/>
          <w:szCs w:val="24"/>
        </w:rPr>
        <w:t>）工程量清单格式中的任何内容不得随意删除或涂改，若有错误，在招标答疑时及时提出，以“补遗”资料为准。</w:t>
      </w:r>
    </w:p>
    <w:p>
      <w:pPr>
        <w:spacing w:beforeLines="0" w:afterLines="0"/>
        <w:ind w:firstLine="420" w:firstLineChars="200"/>
        <w:jc w:val="left"/>
        <w:rPr>
          <w:rFonts w:hint="eastAsia" w:ascii="宋体" w:hAnsi="宋体" w:eastAsia="宋体"/>
          <w:sz w:val="21"/>
          <w:szCs w:val="24"/>
        </w:rPr>
      </w:pPr>
      <w:r>
        <w:rPr>
          <w:rFonts w:hint="eastAsia" w:ascii="宋体" w:hAnsi="宋体" w:eastAsia="宋体"/>
          <w:sz w:val="21"/>
          <w:szCs w:val="24"/>
        </w:rPr>
        <w:t>（</w:t>
      </w:r>
      <w:r>
        <w:rPr>
          <w:rFonts w:hint="eastAsia" w:ascii="TimesNewRomanPSMT" w:hAnsi="TimesNewRomanPSMT" w:eastAsia="TimesNewRomanPSMT"/>
          <w:sz w:val="21"/>
          <w:szCs w:val="24"/>
        </w:rPr>
        <w:t>8</w:t>
      </w:r>
      <w:r>
        <w:rPr>
          <w:rFonts w:hint="eastAsia" w:ascii="宋体" w:hAnsi="宋体" w:eastAsia="宋体"/>
          <w:sz w:val="21"/>
          <w:szCs w:val="24"/>
        </w:rPr>
        <w:t>）</w:t>
      </w:r>
      <w:r>
        <w:rPr>
          <w:bCs/>
          <w:color w:val="auto"/>
          <w:kern w:val="2"/>
          <w:sz w:val="21"/>
          <w:szCs w:val="21"/>
        </w:rPr>
        <w:t>补充的工程量清单需附有补充项目的名称、项目特征、计量单位、工程量计算规则、工作内容。不能计量的措施项目应附有补充项目的名称、工作内容及包含范围。</w:t>
      </w:r>
    </w:p>
    <w:p>
      <w:pPr>
        <w:spacing w:beforeLines="0" w:afterLines="0"/>
        <w:ind w:firstLine="420" w:firstLineChars="200"/>
        <w:jc w:val="left"/>
        <w:rPr>
          <w:rFonts w:hint="eastAsia" w:ascii="宋体" w:hAnsi="宋体" w:eastAsia="宋体"/>
          <w:sz w:val="21"/>
          <w:szCs w:val="24"/>
        </w:rPr>
      </w:pPr>
      <w:r>
        <w:rPr>
          <w:rFonts w:hint="eastAsia" w:ascii="TimesNewRomanPSMT" w:hAnsi="TimesNewRomanPSMT" w:eastAsia="TimesNewRomanPSMT"/>
          <w:sz w:val="21"/>
          <w:szCs w:val="24"/>
        </w:rPr>
        <w:t>2</w:t>
      </w:r>
      <w:r>
        <w:rPr>
          <w:rFonts w:hint="eastAsia" w:ascii="宋体" w:hAnsi="宋体" w:eastAsia="宋体"/>
          <w:sz w:val="21"/>
          <w:szCs w:val="24"/>
        </w:rPr>
        <w:t>、特殊说明</w:t>
      </w:r>
    </w:p>
    <w:p>
      <w:pPr>
        <w:spacing w:beforeLines="0" w:afterLines="0"/>
        <w:ind w:firstLine="420" w:firstLineChars="200"/>
        <w:jc w:val="left"/>
        <w:rPr>
          <w:rFonts w:hint="eastAsia" w:ascii="宋体" w:hAnsi="宋体" w:eastAsia="宋体"/>
          <w:sz w:val="21"/>
          <w:szCs w:val="24"/>
        </w:rPr>
      </w:pPr>
      <w:r>
        <w:rPr>
          <w:rFonts w:hint="eastAsia" w:ascii="宋体" w:hAnsi="宋体"/>
          <w:sz w:val="21"/>
          <w:szCs w:val="24"/>
          <w:lang w:val="en-US" w:eastAsia="zh-CN"/>
        </w:rPr>
        <w:t>本项目</w:t>
      </w:r>
      <w:r>
        <w:rPr>
          <w:rFonts w:hint="eastAsia" w:ascii="宋体" w:hAnsi="宋体" w:eastAsia="宋体"/>
          <w:sz w:val="21"/>
          <w:szCs w:val="24"/>
          <w:lang w:val="en-US" w:eastAsia="zh-CN"/>
        </w:rPr>
        <w:t>消防喷淋及消火栓系统、防排烟系统、火灾自动报警系统、应急照明系统等</w:t>
      </w:r>
      <w:r>
        <w:rPr>
          <w:rFonts w:hint="eastAsia" w:ascii="宋体" w:hAnsi="宋体"/>
          <w:sz w:val="21"/>
          <w:szCs w:val="24"/>
          <w:lang w:val="en-US" w:eastAsia="zh-CN"/>
        </w:rPr>
        <w:t>工程本次以暂估价形式列项</w:t>
      </w:r>
      <w:r>
        <w:rPr>
          <w:rFonts w:hint="eastAsia" w:ascii="宋体" w:hAnsi="宋体" w:eastAsia="宋体"/>
          <w:sz w:val="21"/>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mMmE5NTI5ZDRiNWNiNTdiNmE3YWFjMWQ2MWQ1N2UifQ=="/>
    <w:docVar w:name="KSO_WPS_MARK_KEY" w:val="331f1a56-0624-4f19-ba70-f79946ab0df6"/>
  </w:docVars>
  <w:rsids>
    <w:rsidRoot w:val="28C54885"/>
    <w:rsid w:val="0BAE0408"/>
    <w:rsid w:val="132D07C2"/>
    <w:rsid w:val="1FD24341"/>
    <w:rsid w:val="21256280"/>
    <w:rsid w:val="28C54885"/>
    <w:rsid w:val="30DD4F61"/>
    <w:rsid w:val="36D87CBE"/>
    <w:rsid w:val="45EF7078"/>
    <w:rsid w:val="51856AE2"/>
    <w:rsid w:val="51D23491"/>
    <w:rsid w:val="525518CA"/>
    <w:rsid w:val="58EA64C3"/>
    <w:rsid w:val="6DB070AC"/>
    <w:rsid w:val="72BE2EA3"/>
    <w:rsid w:val="77651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样式 正文001 + 首行缩进:  2 字符1"/>
    <w:basedOn w:val="1"/>
    <w:qFormat/>
    <w:uiPriority w:val="0"/>
    <w:pPr>
      <w:spacing w:before="60" w:line="460" w:lineRule="exact"/>
      <w:ind w:firstLine="480"/>
    </w:pPr>
    <w:rPr>
      <w:rFonts w:ascii="宋体" w:hAnsi="宋体"/>
      <w:sz w:val="24"/>
      <w:szCs w:val="22"/>
    </w:rPr>
  </w:style>
  <w:style w:type="character" w:customStyle="1" w:styleId="5">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977</Words>
  <Characters>1080</Characters>
  <Lines>0</Lines>
  <Paragraphs>0</Paragraphs>
  <TotalTime>1</TotalTime>
  <ScaleCrop>false</ScaleCrop>
  <LinksUpToDate>false</LinksUpToDate>
  <CharactersWithSpaces>1081</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2024-12-27T05:16:00Z</dcterms:created>
  <dc:creator>forestzhang</dc:creator>
  <cp:lastModifiedBy>麒</cp:lastModifiedBy>
  <dcterms:modified xsi:type="dcterms:W3CDTF">2025-01-07T08:22:19Z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A694652A62B24E689B7973F9150318D9_11</vt:lpwstr>
  </property>
  <property fmtid="{D5CDD505-2E9C-101B-9397-08002B2CF9AE}" pid="4" name="KSOTemplateDocerSaveRecord">
    <vt:lpwstr>eyJoZGlkIjoiYThkYjc1MWJhYzNkYjVkOGI5ZmU5YTM2ZDZmZmMxYmQiLCJ1c2VySWQiOiI2MTY0OTE5NjkifQ==</vt:lpwstr>
  </property>
</Properties>
</file>