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74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28B4E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8809D2E">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14B2E43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258F875">
      <w:pPr>
        <w:kinsoku/>
        <w:wordWrap w:val="0"/>
        <w:spacing w:line="316" w:lineRule="auto"/>
        <w:jc w:val="both"/>
        <w:rPr>
          <w:rFonts w:asciiTheme="minorEastAsia" w:hAnsiTheme="minorEastAsia" w:eastAsiaTheme="minorEastAsia" w:cstheme="minorEastAsia"/>
        </w:rPr>
      </w:pPr>
    </w:p>
    <w:p w14:paraId="1F5B72DF">
      <w:pPr>
        <w:kinsoku/>
        <w:wordWrap w:val="0"/>
        <w:spacing w:line="316" w:lineRule="auto"/>
        <w:jc w:val="both"/>
        <w:rPr>
          <w:rFonts w:asciiTheme="minorEastAsia" w:hAnsiTheme="minorEastAsia" w:eastAsiaTheme="minorEastAsia" w:cstheme="minorEastAsia"/>
        </w:rPr>
      </w:pPr>
    </w:p>
    <w:p w14:paraId="213462E9">
      <w:pPr>
        <w:kinsoku/>
        <w:wordWrap w:val="0"/>
        <w:spacing w:line="317" w:lineRule="auto"/>
        <w:jc w:val="both"/>
        <w:rPr>
          <w:rFonts w:asciiTheme="minorEastAsia" w:hAnsiTheme="minorEastAsia" w:eastAsiaTheme="minorEastAsia" w:cstheme="minorEastAsia"/>
        </w:rPr>
      </w:pPr>
    </w:p>
    <w:p w14:paraId="0FB3D4B2">
      <w:pPr>
        <w:kinsoku/>
        <w:wordWrap w:val="0"/>
        <w:spacing w:line="360" w:lineRule="auto"/>
        <w:jc w:val="both"/>
        <w:rPr>
          <w:rFonts w:asciiTheme="minorEastAsia" w:hAnsiTheme="minorEastAsia" w:eastAsiaTheme="minorEastAsia" w:cstheme="minorEastAsia"/>
          <w:b/>
          <w:bCs/>
          <w:spacing w:val="-17"/>
          <w:sz w:val="36"/>
          <w:szCs w:val="36"/>
        </w:rPr>
      </w:pPr>
    </w:p>
    <w:p w14:paraId="560E2B66">
      <w:pPr>
        <w:kinsoku/>
        <w:wordWrap w:val="0"/>
        <w:spacing w:line="360" w:lineRule="auto"/>
        <w:jc w:val="both"/>
        <w:rPr>
          <w:rFonts w:asciiTheme="minorEastAsia" w:hAnsiTheme="minorEastAsia" w:eastAsiaTheme="minorEastAsia" w:cstheme="minorEastAsia"/>
          <w:b/>
          <w:bCs/>
          <w:spacing w:val="-17"/>
          <w:sz w:val="36"/>
          <w:szCs w:val="36"/>
        </w:rPr>
      </w:pPr>
    </w:p>
    <w:p w14:paraId="77D91916">
      <w:pPr>
        <w:wordWrap w:val="0"/>
        <w:spacing w:line="249" w:lineRule="auto"/>
        <w:jc w:val="both"/>
        <w:rPr>
          <w:lang w:eastAsia="zh-CN"/>
        </w:rPr>
      </w:pPr>
    </w:p>
    <w:p w14:paraId="6084E9E5">
      <w:pPr>
        <w:wordWrap w:val="0"/>
        <w:spacing w:line="249" w:lineRule="auto"/>
        <w:jc w:val="both"/>
        <w:rPr>
          <w:lang w:eastAsia="zh-CN"/>
        </w:rPr>
      </w:pPr>
    </w:p>
    <w:p w14:paraId="669AF9BF">
      <w:pPr>
        <w:pStyle w:val="6"/>
        <w:wordWrap w:val="0"/>
        <w:spacing w:line="360" w:lineRule="auto"/>
        <w:ind w:left="2043" w:leftChars="152" w:hanging="1724" w:hangingChars="600"/>
        <w:jc w:val="both"/>
        <w:rPr>
          <w:rFonts w:hint="eastAsia"/>
          <w:b w:val="0"/>
          <w:bCs w:val="0"/>
          <w:spacing w:val="-17"/>
          <w:sz w:val="32"/>
          <w:szCs w:val="32"/>
          <w:u w:val="single"/>
          <w:lang w:eastAsia="zh-CN"/>
        </w:rPr>
      </w:pPr>
      <w:r>
        <w:rPr>
          <w:rFonts w:hint="eastAsia"/>
          <w:b/>
          <w:bCs/>
          <w:spacing w:val="-17"/>
          <w:sz w:val="32"/>
          <w:szCs w:val="32"/>
          <w:lang w:eastAsia="zh-CN"/>
        </w:rPr>
        <w:t>项目名称：</w:t>
      </w:r>
      <w:r>
        <w:rPr>
          <w:rFonts w:hint="eastAsia"/>
          <w:b w:val="0"/>
          <w:bCs w:val="0"/>
          <w:spacing w:val="-17"/>
          <w:sz w:val="32"/>
          <w:szCs w:val="32"/>
          <w:u w:val="single"/>
          <w:lang w:eastAsia="zh-CN"/>
        </w:rPr>
        <w:t>河南工业职业技术学院人工智能实训</w:t>
      </w:r>
    </w:p>
    <w:p w14:paraId="28421D68">
      <w:pPr>
        <w:pStyle w:val="6"/>
        <w:wordWrap w:val="0"/>
        <w:spacing w:line="360" w:lineRule="auto"/>
        <w:ind w:left="2201" w:leftChars="912" w:hanging="286" w:hangingChars="100"/>
        <w:jc w:val="both"/>
        <w:rPr>
          <w:b w:val="0"/>
          <w:bCs w:val="0"/>
          <w:spacing w:val="-15"/>
          <w:sz w:val="24"/>
          <w:szCs w:val="24"/>
          <w:u w:val="single"/>
          <w:lang w:eastAsia="zh-CN"/>
        </w:rPr>
      </w:pPr>
      <w:r>
        <w:rPr>
          <w:rFonts w:hint="eastAsia"/>
          <w:b w:val="0"/>
          <w:bCs w:val="0"/>
          <w:spacing w:val="-17"/>
          <w:sz w:val="32"/>
          <w:szCs w:val="32"/>
          <w:u w:val="single"/>
          <w:lang w:eastAsia="zh-CN"/>
        </w:rPr>
        <w:t>条件提升及餐厅家具采购项目</w:t>
      </w:r>
    </w:p>
    <w:p w14:paraId="347B5021">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eastAsia="zh-CN"/>
        </w:rPr>
        <w:t xml:space="preserve"> 豫财招标采购-2024-1533</w:t>
      </w:r>
      <w:r>
        <w:rPr>
          <w:rFonts w:hint="eastAsia" w:ascii="宋体" w:hAnsi="宋体" w:eastAsia="宋体" w:cs="宋体"/>
          <w:spacing w:val="-17"/>
          <w:sz w:val="32"/>
          <w:szCs w:val="32"/>
          <w:u w:val="single"/>
          <w:lang w:val="en-US" w:eastAsia="zh-CN"/>
        </w:rPr>
        <w:t>-3</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62DEFBB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pacing w:val="-15"/>
          <w:sz w:val="24"/>
          <w:szCs w:val="24"/>
          <w:u w:val="single"/>
          <w:lang w:eastAsia="zh-CN"/>
        </w:rPr>
        <w:t xml:space="preserve">   </w:t>
      </w:r>
      <w:r>
        <w:rPr>
          <w:rFonts w:hint="eastAsia"/>
          <w:b w:val="0"/>
          <w:bCs w:val="0"/>
          <w:spacing w:val="-17"/>
          <w:sz w:val="32"/>
          <w:szCs w:val="32"/>
          <w:u w:val="single"/>
          <w:lang w:eastAsia="zh-CN"/>
        </w:rPr>
        <w:t>河南工业职业技术学院</w:t>
      </w:r>
      <w:r>
        <w:rPr>
          <w:rFonts w:hint="eastAsia" w:ascii="宋体" w:hAnsi="宋体" w:eastAsia="宋体" w:cs="宋体"/>
          <w:spacing w:val="-17"/>
          <w:sz w:val="32"/>
          <w:szCs w:val="32"/>
          <w:u w:val="single"/>
          <w:lang w:eastAsia="zh-CN"/>
        </w:rPr>
        <w:t xml:space="preserve">   </w:t>
      </w:r>
      <w:r>
        <w:rPr>
          <w:rFonts w:hint="eastAsia" w:ascii="宋体" w:hAnsi="宋体" w:eastAsia="宋体" w:cs="宋体"/>
          <w:b/>
          <w:bCs/>
          <w:spacing w:val="-17"/>
          <w:sz w:val="32"/>
          <w:szCs w:val="32"/>
          <w:u w:val="single"/>
          <w:lang w:eastAsia="zh-CN"/>
        </w:rPr>
        <w:t xml:space="preserve"> </w:t>
      </w:r>
      <w:r>
        <w:rPr>
          <w:rFonts w:hint="eastAsia" w:ascii="宋体" w:hAnsi="宋体" w:eastAsia="宋体" w:cs="宋体"/>
          <w:spacing w:val="-15"/>
          <w:sz w:val="24"/>
          <w:szCs w:val="24"/>
          <w:u w:val="single"/>
          <w:lang w:eastAsia="zh-CN"/>
        </w:rPr>
        <w:t xml:space="preserve"> </w:t>
      </w:r>
      <w:r>
        <w:rPr>
          <w:rFonts w:hint="eastAsia" w:ascii="宋体" w:hAnsi="宋体" w:eastAsia="宋体" w:cs="宋体"/>
          <w:spacing w:val="-15"/>
          <w:sz w:val="24"/>
          <w:szCs w:val="24"/>
          <w:lang w:eastAsia="zh-CN"/>
        </w:rPr>
        <w:t xml:space="preserve">                </w:t>
      </w:r>
    </w:p>
    <w:p w14:paraId="17D7CF99">
      <w:pPr>
        <w:pStyle w:val="6"/>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08472ED2">
      <w:pPr>
        <w:wordWrap w:val="0"/>
        <w:spacing w:line="360" w:lineRule="auto"/>
        <w:jc w:val="both"/>
        <w:rPr>
          <w:rFonts w:ascii="宋体" w:hAnsi="宋体" w:eastAsia="宋体" w:cs="宋体"/>
          <w:b/>
          <w:bCs/>
          <w:spacing w:val="-17"/>
          <w:sz w:val="32"/>
          <w:szCs w:val="32"/>
          <w:u w:val="single"/>
          <w:lang w:eastAsia="zh-CN"/>
        </w:rPr>
      </w:pPr>
    </w:p>
    <w:p w14:paraId="04AFAA84">
      <w:pPr>
        <w:wordWrap w:val="0"/>
        <w:spacing w:line="360" w:lineRule="auto"/>
        <w:jc w:val="both"/>
        <w:rPr>
          <w:rFonts w:ascii="宋体" w:hAnsi="宋体" w:eastAsia="宋体" w:cs="宋体"/>
          <w:b/>
          <w:bCs/>
          <w:spacing w:val="-17"/>
          <w:sz w:val="32"/>
          <w:szCs w:val="32"/>
          <w:u w:val="single"/>
          <w:lang w:eastAsia="zh-CN"/>
        </w:rPr>
      </w:pPr>
    </w:p>
    <w:p w14:paraId="7FF87E4E">
      <w:pPr>
        <w:pStyle w:val="25"/>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2025年4月</w:t>
      </w: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284C0A26">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0EB54D9">
          <w:pPr>
            <w:pStyle w:val="6"/>
            <w:keepNext w:val="0"/>
            <w:keepLines w:val="0"/>
            <w:pageBreakBefore w:val="0"/>
            <w:kinsoku/>
            <w:wordWrap w:val="0"/>
            <w:overflowPunct/>
            <w:topLinePunct w:val="0"/>
            <w:bidi w:val="0"/>
            <w:jc w:val="both"/>
            <w:rPr>
              <w:rFonts w:hint="eastAsia"/>
              <w:shd w:val="clear" w:color="FFFFFF" w:fill="D9D9D9"/>
            </w:rPr>
          </w:pPr>
        </w:p>
        <w:p w14:paraId="2C03F8FC">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029C9EA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33671136">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31F24812">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047C79A">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6B1BF2F8">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5293456">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17434FB3">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4F1D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666F1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EEB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1.项目编号：豫财招标采购-2024-1533</w:t>
      </w:r>
      <w:r>
        <w:rPr>
          <w:rFonts w:hint="eastAsia" w:asciiTheme="minorEastAsia" w:hAnsiTheme="minorEastAsia" w:eastAsiaTheme="minorEastAsia" w:cstheme="minorEastAsia"/>
          <w:spacing w:val="-25"/>
          <w:sz w:val="24"/>
          <w:szCs w:val="24"/>
          <w:lang w:val="en-US" w:eastAsia="zh-CN"/>
        </w:rPr>
        <w:t>-3</w:t>
      </w:r>
    </w:p>
    <w:p w14:paraId="5CAB35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2.项目名称：河南工业职业技术学院人工智能实训条件提升及餐厅家具采购项目</w:t>
      </w:r>
    </w:p>
    <w:p w14:paraId="2CBF26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rPr>
        <w:t>211</w:t>
      </w:r>
      <w:r>
        <w:rPr>
          <w:rFonts w:hint="eastAsia" w:asciiTheme="minorEastAsia" w:hAnsiTheme="minorEastAsia" w:eastAsiaTheme="minorEastAsia" w:cstheme="minorEastAsia"/>
          <w:spacing w:val="-14"/>
          <w:sz w:val="24"/>
          <w:szCs w:val="24"/>
          <w:highlight w:val="none"/>
          <w:u w:val="single"/>
          <w:lang w:val="en-US" w:eastAsia="zh-CN"/>
        </w:rPr>
        <w:t>.</w:t>
      </w:r>
      <w:r>
        <w:rPr>
          <w:rFonts w:hint="eastAsia" w:asciiTheme="minorEastAsia" w:hAnsiTheme="minorEastAsia" w:eastAsiaTheme="minorEastAsia" w:cstheme="minorEastAsia"/>
          <w:spacing w:val="-14"/>
          <w:sz w:val="24"/>
          <w:szCs w:val="24"/>
          <w:highlight w:val="none"/>
          <w:u w:val="single"/>
        </w:rPr>
        <w:t>876</w:t>
      </w:r>
      <w:r>
        <w:rPr>
          <w:rFonts w:hint="eastAsia" w:asciiTheme="minorEastAsia" w:hAnsiTheme="minorEastAsia" w:eastAsiaTheme="minorEastAsia" w:cstheme="minorEastAsia"/>
          <w:spacing w:val="-14"/>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rPr>
        <w:t>211</w:t>
      </w:r>
      <w:r>
        <w:rPr>
          <w:rFonts w:hint="eastAsia" w:asciiTheme="minorEastAsia" w:hAnsiTheme="minorEastAsia" w:eastAsiaTheme="minorEastAsia" w:cstheme="minorEastAsia"/>
          <w:spacing w:val="-14"/>
          <w:sz w:val="24"/>
          <w:szCs w:val="24"/>
          <w:highlight w:val="none"/>
          <w:u w:val="single"/>
          <w:lang w:val="en-US" w:eastAsia="zh-CN"/>
        </w:rPr>
        <w:t>.</w:t>
      </w:r>
      <w:r>
        <w:rPr>
          <w:rFonts w:hint="eastAsia" w:asciiTheme="minorEastAsia" w:hAnsiTheme="minorEastAsia" w:eastAsiaTheme="minorEastAsia" w:cstheme="minorEastAsia"/>
          <w:spacing w:val="-14"/>
          <w:sz w:val="24"/>
          <w:szCs w:val="24"/>
          <w:highlight w:val="none"/>
          <w:u w:val="single"/>
        </w:rPr>
        <w:t>876</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tbl>
      <w:tblPr>
        <w:tblStyle w:val="31"/>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848"/>
        <w:gridCol w:w="2119"/>
      </w:tblGrid>
      <w:tr w14:paraId="6E30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2B0534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包号</w:t>
            </w:r>
          </w:p>
        </w:tc>
        <w:tc>
          <w:tcPr>
            <w:tcW w:w="3848" w:type="dxa"/>
            <w:vAlign w:val="center"/>
          </w:tcPr>
          <w:p w14:paraId="75E7C6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lang w:val="en-US" w:eastAsia="zh-CN"/>
              </w:rPr>
              <w:t>包</w:t>
            </w:r>
            <w:r>
              <w:rPr>
                <w:rFonts w:hint="eastAsia" w:asciiTheme="majorEastAsia" w:hAnsiTheme="majorEastAsia" w:eastAsiaTheme="majorEastAsia" w:cstheme="majorEastAsia"/>
                <w:spacing w:val="7"/>
                <w:sz w:val="24"/>
                <w:szCs w:val="24"/>
              </w:rPr>
              <w:t>名称</w:t>
            </w:r>
          </w:p>
        </w:tc>
        <w:tc>
          <w:tcPr>
            <w:tcW w:w="2119" w:type="dxa"/>
            <w:vAlign w:val="center"/>
          </w:tcPr>
          <w:p w14:paraId="4F2E14F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u w:val="single"/>
                <w:lang w:val="en-US" w:eastAsia="zh-CN" w:bidi="ar-SA"/>
              </w:rPr>
            </w:pPr>
            <w:r>
              <w:rPr>
                <w:rFonts w:hint="eastAsia" w:asciiTheme="majorEastAsia" w:hAnsiTheme="majorEastAsia" w:eastAsiaTheme="majorEastAsia" w:cstheme="majorEastAsia"/>
                <w:snapToGrid w:val="0"/>
                <w:color w:val="000000"/>
                <w:kern w:val="0"/>
                <w:sz w:val="28"/>
                <w:szCs w:val="28"/>
                <w:u w:val="single"/>
                <w:lang w:val="en-US" w:eastAsia="zh-CN" w:bidi="ar-SA"/>
              </w:rPr>
              <w:t>包预算（元）</w:t>
            </w:r>
          </w:p>
        </w:tc>
      </w:tr>
      <w:tr w14:paraId="0854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6D7C4798">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豫财招标采购-2024-1533</w:t>
            </w:r>
            <w:r>
              <w:rPr>
                <w:rFonts w:hint="eastAsia" w:asciiTheme="minorEastAsia" w:hAnsiTheme="minorEastAsia" w:eastAsiaTheme="minorEastAsia" w:cstheme="minorEastAsia"/>
                <w:sz w:val="24"/>
                <w:szCs w:val="24"/>
                <w:lang w:val="en-US" w:eastAsia="zh-CN"/>
              </w:rPr>
              <w:t>-3</w:t>
            </w:r>
          </w:p>
          <w:p w14:paraId="4137A88F">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tc>
        <w:tc>
          <w:tcPr>
            <w:tcW w:w="3848" w:type="dxa"/>
            <w:vAlign w:val="center"/>
          </w:tcPr>
          <w:p w14:paraId="4EC8E28B">
            <w:pPr>
              <w:jc w:val="center"/>
              <w:rPr>
                <w:rFonts w:hint="eastAsia" w:eastAsia="宋体" w:asciiTheme="minorEastAsia" w:hAnsiTheme="minorEastAsia" w:cstheme="minorEastAsia"/>
                <w:sz w:val="24"/>
                <w:lang w:val="en-US" w:eastAsia="zh-CN"/>
              </w:rPr>
            </w:pPr>
            <w:r>
              <w:rPr>
                <w:rFonts w:hint="eastAsia" w:ascii="宋体" w:hAnsi="宋体"/>
                <w:color w:val="000000"/>
                <w:sz w:val="24"/>
                <w:szCs w:val="24"/>
              </w:rPr>
              <w:t>教学设备采购</w:t>
            </w:r>
            <w:r>
              <w:rPr>
                <w:rFonts w:hint="eastAsia" w:ascii="宋体" w:hAnsi="宋体" w:eastAsia="宋体"/>
                <w:color w:val="000000"/>
                <w:sz w:val="24"/>
                <w:szCs w:val="24"/>
                <w:lang w:val="en-US" w:eastAsia="zh-CN"/>
              </w:rPr>
              <w:t>项目</w:t>
            </w:r>
          </w:p>
        </w:tc>
        <w:tc>
          <w:tcPr>
            <w:tcW w:w="2119" w:type="dxa"/>
            <w:vAlign w:val="center"/>
          </w:tcPr>
          <w:p w14:paraId="377AB4A3">
            <w:pPr>
              <w:jc w:val="center"/>
              <w:rPr>
                <w:rFonts w:hint="eastAsia" w:eastAsia="宋体" w:asciiTheme="minorEastAsia" w:hAnsiTheme="minorEastAsia" w:cstheme="minorEastAsia"/>
                <w:snapToGrid w:val="0"/>
                <w:color w:val="000000"/>
                <w:kern w:val="0"/>
                <w:sz w:val="28"/>
                <w:szCs w:val="28"/>
                <w:u w:val="none"/>
                <w:lang w:val="en-US" w:eastAsia="zh-CN" w:bidi="ar-SA"/>
              </w:rPr>
            </w:pPr>
            <w:r>
              <w:rPr>
                <w:rFonts w:hint="eastAsia" w:asciiTheme="minorEastAsia" w:hAnsiTheme="minorEastAsia" w:eastAsiaTheme="minorEastAsia" w:cstheme="minorEastAsia"/>
                <w:sz w:val="24"/>
                <w:szCs w:val="24"/>
                <w:lang w:val="en-US" w:eastAsia="zh-CN"/>
              </w:rPr>
              <w:t>2118760</w:t>
            </w:r>
          </w:p>
        </w:tc>
      </w:tr>
    </w:tbl>
    <w:p w14:paraId="0F185C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r>
        <w:rPr>
          <w:rFonts w:hint="eastAsia" w:asciiTheme="minorEastAsia" w:hAnsiTheme="minorEastAsia" w:eastAsiaTheme="minorEastAsia" w:cstheme="minorEastAsia"/>
          <w:spacing w:val="-5"/>
          <w:sz w:val="24"/>
          <w:szCs w:val="24"/>
          <w:lang w:val="en-US" w:eastAsia="zh-CN"/>
        </w:rPr>
        <w:t>及清单</w:t>
      </w:r>
    </w:p>
    <w:p w14:paraId="6D1D25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2" w:firstLineChars="200"/>
        <w:jc w:val="both"/>
        <w:textAlignment w:val="baseline"/>
        <w:rPr>
          <w:rFonts w:hint="eastAsia" w:asciiTheme="minorEastAsia" w:hAnsiTheme="minorEastAsia" w:eastAsiaTheme="minorEastAsia" w:cstheme="minorEastAsia"/>
          <w:b/>
          <w:bCs/>
          <w:spacing w:val="-25"/>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第三标段：教学设备采购项目</w:t>
      </w:r>
    </w:p>
    <w:tbl>
      <w:tblPr>
        <w:tblStyle w:val="20"/>
        <w:tblW w:w="6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3084"/>
        <w:gridCol w:w="1171"/>
        <w:gridCol w:w="1382"/>
      </w:tblGrid>
      <w:tr w14:paraId="4D64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134" w:type="dxa"/>
            <w:noWrap w:val="0"/>
            <w:vAlign w:val="center"/>
          </w:tcPr>
          <w:p w14:paraId="65FF2555">
            <w:pPr>
              <w:jc w:val="center"/>
              <w:rPr>
                <w:rFonts w:hint="eastAsia" w:ascii="宋体" w:hAnsi="宋体" w:cs="宋体"/>
                <w:b/>
                <w:sz w:val="24"/>
                <w:szCs w:val="24"/>
              </w:rPr>
            </w:pPr>
            <w:r>
              <w:rPr>
                <w:rFonts w:hint="eastAsia" w:ascii="宋体" w:hAnsi="宋体" w:cs="宋体"/>
                <w:b/>
                <w:sz w:val="24"/>
                <w:szCs w:val="24"/>
              </w:rPr>
              <w:t>序号</w:t>
            </w:r>
          </w:p>
        </w:tc>
        <w:tc>
          <w:tcPr>
            <w:tcW w:w="3084" w:type="dxa"/>
            <w:noWrap w:val="0"/>
            <w:vAlign w:val="center"/>
          </w:tcPr>
          <w:p w14:paraId="36D826DF">
            <w:pPr>
              <w:rPr>
                <w:rFonts w:hint="eastAsia" w:ascii="宋体" w:hAnsi="宋体" w:cs="宋体"/>
                <w:b/>
                <w:sz w:val="24"/>
                <w:szCs w:val="24"/>
              </w:rPr>
            </w:pPr>
            <w:r>
              <w:rPr>
                <w:rFonts w:hint="eastAsia" w:ascii="宋体" w:hAnsi="宋体" w:cs="宋体"/>
                <w:b/>
                <w:sz w:val="24"/>
                <w:szCs w:val="24"/>
              </w:rPr>
              <w:t>设备/产品名称或服务内容</w:t>
            </w:r>
          </w:p>
        </w:tc>
        <w:tc>
          <w:tcPr>
            <w:tcW w:w="1171" w:type="dxa"/>
            <w:noWrap w:val="0"/>
            <w:vAlign w:val="center"/>
          </w:tcPr>
          <w:p w14:paraId="29B6A948">
            <w:pPr>
              <w:jc w:val="center"/>
              <w:rPr>
                <w:rFonts w:hint="eastAsia" w:ascii="宋体" w:hAnsi="宋体" w:cs="宋体"/>
                <w:b/>
                <w:sz w:val="24"/>
                <w:szCs w:val="24"/>
              </w:rPr>
            </w:pPr>
            <w:r>
              <w:rPr>
                <w:rFonts w:hint="eastAsia" w:ascii="宋体" w:hAnsi="宋体" w:cs="宋体"/>
                <w:b/>
                <w:sz w:val="24"/>
                <w:szCs w:val="24"/>
              </w:rPr>
              <w:t>单位</w:t>
            </w:r>
          </w:p>
        </w:tc>
        <w:tc>
          <w:tcPr>
            <w:tcW w:w="1382" w:type="dxa"/>
            <w:noWrap w:val="0"/>
            <w:vAlign w:val="center"/>
          </w:tcPr>
          <w:p w14:paraId="247A0ED8">
            <w:pPr>
              <w:jc w:val="center"/>
              <w:rPr>
                <w:rFonts w:hint="eastAsia" w:ascii="宋体" w:hAnsi="宋体" w:cs="宋体"/>
                <w:b/>
                <w:sz w:val="24"/>
                <w:szCs w:val="24"/>
              </w:rPr>
            </w:pPr>
            <w:r>
              <w:rPr>
                <w:rFonts w:hint="eastAsia" w:ascii="宋体" w:hAnsi="宋体" w:cs="宋体"/>
                <w:b/>
                <w:sz w:val="24"/>
                <w:szCs w:val="24"/>
              </w:rPr>
              <w:t>数量</w:t>
            </w:r>
          </w:p>
        </w:tc>
      </w:tr>
      <w:tr w14:paraId="7848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134" w:type="dxa"/>
            <w:noWrap w:val="0"/>
            <w:vAlign w:val="center"/>
          </w:tcPr>
          <w:p w14:paraId="25E942E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1</w:t>
            </w:r>
          </w:p>
        </w:tc>
        <w:tc>
          <w:tcPr>
            <w:tcW w:w="3084" w:type="dxa"/>
            <w:noWrap w:val="0"/>
            <w:vAlign w:val="center"/>
          </w:tcPr>
          <w:p w14:paraId="7996D76B">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智慧黑板</w:t>
            </w:r>
          </w:p>
        </w:tc>
        <w:tc>
          <w:tcPr>
            <w:tcW w:w="1171" w:type="dxa"/>
            <w:noWrap w:val="0"/>
            <w:vAlign w:val="center"/>
          </w:tcPr>
          <w:p w14:paraId="380BFA7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35011CD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r>
      <w:tr w14:paraId="244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134" w:type="dxa"/>
            <w:noWrap w:val="0"/>
            <w:vAlign w:val="center"/>
          </w:tcPr>
          <w:p w14:paraId="3D9FDAE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2</w:t>
            </w:r>
          </w:p>
        </w:tc>
        <w:tc>
          <w:tcPr>
            <w:tcW w:w="3084" w:type="dxa"/>
            <w:noWrap w:val="0"/>
            <w:vAlign w:val="center"/>
          </w:tcPr>
          <w:p w14:paraId="7936985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移动大屏</w:t>
            </w:r>
          </w:p>
        </w:tc>
        <w:tc>
          <w:tcPr>
            <w:tcW w:w="1171" w:type="dxa"/>
            <w:noWrap w:val="0"/>
            <w:vAlign w:val="center"/>
          </w:tcPr>
          <w:p w14:paraId="61A56D4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5645DAD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r>
      <w:tr w14:paraId="2CD6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1134" w:type="dxa"/>
            <w:noWrap w:val="0"/>
            <w:vAlign w:val="center"/>
          </w:tcPr>
          <w:p w14:paraId="2BC7EF9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3</w:t>
            </w:r>
          </w:p>
        </w:tc>
        <w:tc>
          <w:tcPr>
            <w:tcW w:w="3084" w:type="dxa"/>
            <w:noWrap w:val="0"/>
            <w:vAlign w:val="center"/>
          </w:tcPr>
          <w:p w14:paraId="5EEF861F">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LED拼接大屏</w:t>
            </w:r>
          </w:p>
        </w:tc>
        <w:tc>
          <w:tcPr>
            <w:tcW w:w="1171" w:type="dxa"/>
            <w:noWrap w:val="0"/>
            <w:vAlign w:val="center"/>
          </w:tcPr>
          <w:p w14:paraId="1695988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1382" w:type="dxa"/>
            <w:noWrap w:val="0"/>
            <w:vAlign w:val="center"/>
          </w:tcPr>
          <w:p w14:paraId="6D70490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14:paraId="50DF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134" w:type="dxa"/>
            <w:noWrap w:val="0"/>
            <w:vAlign w:val="center"/>
          </w:tcPr>
          <w:p w14:paraId="7593526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4</w:t>
            </w:r>
          </w:p>
        </w:tc>
        <w:tc>
          <w:tcPr>
            <w:tcW w:w="3084" w:type="dxa"/>
            <w:noWrap w:val="0"/>
            <w:vAlign w:val="center"/>
          </w:tcPr>
          <w:p w14:paraId="733C9C30">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智慧班牌机</w:t>
            </w:r>
          </w:p>
        </w:tc>
        <w:tc>
          <w:tcPr>
            <w:tcW w:w="1171" w:type="dxa"/>
            <w:noWrap w:val="0"/>
            <w:vAlign w:val="center"/>
          </w:tcPr>
          <w:p w14:paraId="0E11A0C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台</w:t>
            </w:r>
          </w:p>
        </w:tc>
        <w:tc>
          <w:tcPr>
            <w:tcW w:w="1382" w:type="dxa"/>
            <w:noWrap w:val="0"/>
            <w:vAlign w:val="center"/>
          </w:tcPr>
          <w:p w14:paraId="5CDEB37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r w14:paraId="502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134" w:type="dxa"/>
            <w:noWrap w:val="0"/>
            <w:vAlign w:val="center"/>
          </w:tcPr>
          <w:p w14:paraId="4B81880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5</w:t>
            </w:r>
          </w:p>
        </w:tc>
        <w:tc>
          <w:tcPr>
            <w:tcW w:w="3084" w:type="dxa"/>
            <w:noWrap w:val="0"/>
            <w:vAlign w:val="center"/>
          </w:tcPr>
          <w:p w14:paraId="4F2C9D7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门禁</w:t>
            </w:r>
          </w:p>
        </w:tc>
        <w:tc>
          <w:tcPr>
            <w:tcW w:w="1171" w:type="dxa"/>
            <w:noWrap w:val="0"/>
            <w:vAlign w:val="center"/>
          </w:tcPr>
          <w:p w14:paraId="3DC0884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26A500D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bl>
    <w:p w14:paraId="5CCEF9AC">
      <w:pPr>
        <w:ind w:firstLine="480" w:firstLineChars="200"/>
        <w:rPr>
          <w:rFonts w:hint="eastAsia"/>
          <w:b/>
          <w:bCs/>
          <w:sz w:val="24"/>
          <w:szCs w:val="24"/>
        </w:rPr>
      </w:pPr>
      <w:r>
        <w:rPr>
          <w:rFonts w:hint="eastAsia"/>
          <w:sz w:val="24"/>
          <w:szCs w:val="24"/>
          <w:lang w:val="en-US" w:eastAsia="zh-CN"/>
        </w:rPr>
        <w:t>项目</w:t>
      </w:r>
      <w:r>
        <w:rPr>
          <w:rFonts w:hint="eastAsia"/>
          <w:sz w:val="24"/>
          <w:szCs w:val="24"/>
        </w:rPr>
        <w:t>核心产品</w:t>
      </w:r>
      <w:r>
        <w:rPr>
          <w:sz w:val="24"/>
          <w:szCs w:val="24"/>
        </w:rPr>
        <w:t>：</w:t>
      </w:r>
      <w:r>
        <w:rPr>
          <w:rFonts w:hint="eastAsia"/>
          <w:b/>
          <w:bCs/>
          <w:sz w:val="24"/>
          <w:szCs w:val="24"/>
        </w:rPr>
        <w:t>移动大屏</w:t>
      </w:r>
    </w:p>
    <w:p w14:paraId="6A5D64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5"/>
          <w:sz w:val="24"/>
          <w:szCs w:val="24"/>
          <w:lang w:val="en-US" w:eastAsia="zh-CN"/>
        </w:rPr>
      </w:pPr>
    </w:p>
    <w:p w14:paraId="592A89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6.合同履行期限：签订合同后</w:t>
      </w:r>
      <w:r>
        <w:rPr>
          <w:rFonts w:hint="eastAsia" w:asciiTheme="minorEastAsia" w:hAnsiTheme="minorEastAsia" w:eastAsiaTheme="minorEastAsia" w:cstheme="minorEastAsia"/>
          <w:color w:val="auto"/>
          <w:spacing w:val="-25"/>
          <w:sz w:val="24"/>
          <w:szCs w:val="24"/>
          <w:highlight w:val="none"/>
          <w:lang w:val="en-US" w:eastAsia="zh-CN"/>
        </w:rPr>
        <w:t>60日历天</w:t>
      </w:r>
      <w:r>
        <w:rPr>
          <w:rFonts w:hint="eastAsia" w:asciiTheme="minorEastAsia" w:hAnsiTheme="minorEastAsia" w:eastAsiaTheme="minorEastAsia" w:cstheme="minorEastAsia"/>
          <w:spacing w:val="-25"/>
          <w:sz w:val="24"/>
          <w:szCs w:val="24"/>
          <w:lang w:val="en-US" w:eastAsia="zh-CN"/>
        </w:rPr>
        <w:t>内供货安装完毕。</w:t>
      </w:r>
    </w:p>
    <w:p w14:paraId="44A679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1D273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000000"/>
          <w:sz w:val="21"/>
          <w14:textFill>
            <w14:gradFill>
              <w14:gsLst>
                <w14:gs w14:pos="0">
                  <w14:srgbClr w14:val="FBE55E"/>
                </w14:gs>
                <w14:gs w14:pos="100000">
                  <w14:srgbClr w14:val="EA3F32"/>
                </w14:gs>
              </w14:gsLst>
              <w14:lin w14:ang="8820000" w14:scaled="1"/>
            </w14:gradFill>
          </w14:textFill>
        </w:rPr>
      </w:pPr>
    </w:p>
    <w:p w14:paraId="0507BC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2D3E1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418FF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486517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pacing w:val="-2"/>
          <w:position w:val="17"/>
          <w:sz w:val="24"/>
          <w:szCs w:val="24"/>
          <w:u w:val="single"/>
        </w:rPr>
        <w:t>127</w:t>
      </w:r>
      <w:r>
        <w:rPr>
          <w:rFonts w:hint="eastAsia" w:asciiTheme="minorEastAsia" w:hAnsiTheme="minorEastAsia" w:eastAsiaTheme="minorEastAsia" w:cstheme="minorEastAsia"/>
          <w:spacing w:val="-2"/>
          <w:position w:val="17"/>
          <w:sz w:val="24"/>
          <w:szCs w:val="24"/>
          <w:u w:val="single"/>
          <w:lang w:val="en-US" w:eastAsia="zh-CN"/>
        </w:rPr>
        <w:t>.</w:t>
      </w:r>
      <w:r>
        <w:rPr>
          <w:rFonts w:hint="eastAsia" w:asciiTheme="minorEastAsia" w:hAnsiTheme="minorEastAsia" w:eastAsiaTheme="minorEastAsia" w:cstheme="minorEastAsia"/>
          <w:spacing w:val="-2"/>
          <w:position w:val="17"/>
          <w:sz w:val="24"/>
          <w:szCs w:val="24"/>
          <w:u w:val="single"/>
        </w:rPr>
        <w:t>1256</w:t>
      </w:r>
      <w:r>
        <w:rPr>
          <w:rFonts w:hint="eastAsia" w:asciiTheme="minorEastAsia" w:hAnsiTheme="minorEastAsia" w:eastAsiaTheme="minorEastAsia" w:cstheme="minorEastAsia"/>
          <w:spacing w:val="-2"/>
          <w:position w:val="17"/>
          <w:sz w:val="24"/>
          <w:szCs w:val="24"/>
        </w:rPr>
        <w:t>万元。</w:t>
      </w:r>
    </w:p>
    <w:p w14:paraId="0686D8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0B56E8D8">
      <w:pPr>
        <w:pStyle w:val="30"/>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4280B9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22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2BF1EA31">
      <w:pPr>
        <w:pStyle w:val="6"/>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20BDA16">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w:t>
      </w:r>
      <w:r>
        <w:rPr>
          <w:rFonts w:hint="eastAsia" w:ascii="宋体" w:hAnsi="宋体" w:eastAsia="宋体" w:cs="宋体"/>
          <w:color w:val="auto"/>
          <w:sz w:val="24"/>
          <w:szCs w:val="24"/>
          <w:highlight w:val="none"/>
          <w:u w:val="none"/>
          <w:lang w:eastAsia="zh-CN"/>
        </w:rPr>
        <w:t xml:space="preserve">河南工业职业技术学院  </w:t>
      </w:r>
    </w:p>
    <w:p w14:paraId="5AD66D16">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地址：</w:t>
      </w:r>
      <w:r>
        <w:rPr>
          <w:rFonts w:hint="eastAsia" w:ascii="宋体" w:hAnsi="宋体" w:eastAsia="宋体" w:cs="宋体"/>
          <w:color w:val="auto"/>
          <w:sz w:val="24"/>
          <w:szCs w:val="24"/>
          <w:highlight w:val="none"/>
          <w:u w:val="none"/>
          <w:lang w:eastAsia="zh-CN"/>
        </w:rPr>
        <w:t xml:space="preserve">南阳市杜诗路1666号 </w:t>
      </w:r>
    </w:p>
    <w:p w14:paraId="1177FEC2">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联系人：</w:t>
      </w:r>
      <w:r>
        <w:rPr>
          <w:rFonts w:hint="eastAsia" w:ascii="宋体" w:hAnsi="宋体" w:eastAsia="宋体" w:cs="宋体"/>
          <w:color w:val="auto"/>
          <w:sz w:val="24"/>
          <w:szCs w:val="24"/>
          <w:highlight w:val="none"/>
          <w:u w:val="none"/>
          <w:lang w:eastAsia="zh-CN"/>
        </w:rPr>
        <w:t xml:space="preserve"> 郭老师     </w:t>
      </w:r>
      <w:r>
        <w:rPr>
          <w:rFonts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eastAsia="zh-CN"/>
        </w:rPr>
        <w:t xml:space="preserve">    </w:t>
      </w:r>
    </w:p>
    <w:p w14:paraId="2F96B22A">
      <w:pPr>
        <w:pStyle w:val="6"/>
        <w:spacing w:line="360" w:lineRule="auto"/>
        <w:rPr>
          <w:rFonts w:ascii="宋体" w:hAnsi="宋体" w:eastAsia="宋体" w:cs="宋体"/>
          <w:b/>
          <w:bCs/>
          <w:color w:val="auto"/>
          <w:spacing w:val="4"/>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联系方式：</w:t>
      </w:r>
      <w:r>
        <w:rPr>
          <w:rFonts w:hint="eastAsia" w:ascii="宋体" w:hAnsi="宋体" w:eastAsia="宋体" w:cs="宋体"/>
          <w:color w:val="auto"/>
          <w:sz w:val="24"/>
          <w:szCs w:val="24"/>
          <w:highlight w:val="none"/>
          <w:u w:val="none"/>
          <w:lang w:eastAsia="zh-CN"/>
        </w:rPr>
        <w:t xml:space="preserve">0377-83663603  </w:t>
      </w:r>
    </w:p>
    <w:p w14:paraId="4C10EE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0377-61176188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4"/>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148049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0070C0"/>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 </w:t>
      </w:r>
      <w:r>
        <w:rPr>
          <w:rFonts w:hint="eastAsia" w:asciiTheme="minorEastAsia" w:hAnsiTheme="minorEastAsia" w:eastAsiaTheme="minorEastAsia" w:cstheme="minorEastAsia"/>
          <w:color w:val="auto"/>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644155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第三标段：</w:t>
      </w:r>
      <w:r>
        <w:rPr>
          <w:rFonts w:hint="eastAsia" w:ascii="宋体" w:hAnsi="宋体"/>
          <w:b/>
          <w:bCs/>
          <w:color w:val="000000"/>
          <w:sz w:val="24"/>
          <w:szCs w:val="24"/>
        </w:rPr>
        <w:t>教学设备采购</w:t>
      </w:r>
      <w:r>
        <w:rPr>
          <w:rFonts w:hint="eastAsia" w:asciiTheme="minorEastAsia" w:hAnsiTheme="minorEastAsia" w:cstheme="minorEastAsia"/>
          <w:b/>
          <w:bCs/>
          <w:sz w:val="24"/>
        </w:rPr>
        <w:t>项目</w:t>
      </w:r>
    </w:p>
    <w:tbl>
      <w:tblPr>
        <w:tblStyle w:val="20"/>
        <w:tblW w:w="6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8"/>
        <w:gridCol w:w="3015"/>
        <w:gridCol w:w="1144"/>
        <w:gridCol w:w="1351"/>
      </w:tblGrid>
      <w:tr w14:paraId="2A7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1108" w:type="dxa"/>
            <w:noWrap w:val="0"/>
            <w:vAlign w:val="center"/>
          </w:tcPr>
          <w:p w14:paraId="0D0E3219">
            <w:pPr>
              <w:jc w:val="center"/>
              <w:rPr>
                <w:rFonts w:hint="eastAsia" w:ascii="宋体" w:hAnsi="宋体" w:cs="宋体"/>
                <w:b/>
                <w:sz w:val="24"/>
                <w:szCs w:val="24"/>
              </w:rPr>
            </w:pPr>
            <w:r>
              <w:rPr>
                <w:rFonts w:hint="eastAsia" w:ascii="宋体" w:hAnsi="宋体" w:cs="宋体"/>
                <w:b/>
                <w:sz w:val="24"/>
                <w:szCs w:val="24"/>
              </w:rPr>
              <w:t>序号</w:t>
            </w:r>
          </w:p>
        </w:tc>
        <w:tc>
          <w:tcPr>
            <w:tcW w:w="3015" w:type="dxa"/>
            <w:noWrap w:val="0"/>
            <w:vAlign w:val="center"/>
          </w:tcPr>
          <w:p w14:paraId="4EBCEB03">
            <w:pPr>
              <w:rPr>
                <w:rFonts w:hint="eastAsia" w:ascii="宋体" w:hAnsi="宋体" w:cs="宋体"/>
                <w:b/>
                <w:sz w:val="24"/>
                <w:szCs w:val="24"/>
              </w:rPr>
            </w:pPr>
            <w:r>
              <w:rPr>
                <w:rFonts w:hint="eastAsia" w:ascii="宋体" w:hAnsi="宋体" w:cs="宋体"/>
                <w:b/>
                <w:sz w:val="24"/>
                <w:szCs w:val="24"/>
              </w:rPr>
              <w:t>设备/产品名称或服务内容</w:t>
            </w:r>
          </w:p>
        </w:tc>
        <w:tc>
          <w:tcPr>
            <w:tcW w:w="1144" w:type="dxa"/>
            <w:noWrap w:val="0"/>
            <w:vAlign w:val="center"/>
          </w:tcPr>
          <w:p w14:paraId="5C772A4E">
            <w:pPr>
              <w:jc w:val="center"/>
              <w:rPr>
                <w:rFonts w:hint="eastAsia" w:ascii="宋体" w:hAnsi="宋体" w:cs="宋体"/>
                <w:b/>
                <w:sz w:val="24"/>
                <w:szCs w:val="24"/>
              </w:rPr>
            </w:pPr>
            <w:r>
              <w:rPr>
                <w:rFonts w:hint="eastAsia" w:ascii="宋体" w:hAnsi="宋体" w:cs="宋体"/>
                <w:b/>
                <w:sz w:val="24"/>
                <w:szCs w:val="24"/>
              </w:rPr>
              <w:t>单位</w:t>
            </w:r>
          </w:p>
        </w:tc>
        <w:tc>
          <w:tcPr>
            <w:tcW w:w="1351" w:type="dxa"/>
            <w:noWrap w:val="0"/>
            <w:vAlign w:val="center"/>
          </w:tcPr>
          <w:p w14:paraId="55B12B38">
            <w:pPr>
              <w:jc w:val="center"/>
              <w:rPr>
                <w:rFonts w:hint="eastAsia" w:ascii="宋体" w:hAnsi="宋体" w:cs="宋体"/>
                <w:b/>
                <w:sz w:val="24"/>
                <w:szCs w:val="24"/>
              </w:rPr>
            </w:pPr>
            <w:r>
              <w:rPr>
                <w:rFonts w:hint="eastAsia" w:ascii="宋体" w:hAnsi="宋体" w:cs="宋体"/>
                <w:b/>
                <w:sz w:val="24"/>
                <w:szCs w:val="24"/>
              </w:rPr>
              <w:t>数量</w:t>
            </w:r>
          </w:p>
        </w:tc>
      </w:tr>
      <w:tr w14:paraId="6F92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1108" w:type="dxa"/>
            <w:noWrap w:val="0"/>
            <w:vAlign w:val="center"/>
          </w:tcPr>
          <w:p w14:paraId="77D92F75">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1</w:t>
            </w:r>
          </w:p>
        </w:tc>
        <w:tc>
          <w:tcPr>
            <w:tcW w:w="3015" w:type="dxa"/>
            <w:noWrap w:val="0"/>
            <w:vAlign w:val="center"/>
          </w:tcPr>
          <w:p w14:paraId="58E661D0">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智慧黑板</w:t>
            </w:r>
          </w:p>
        </w:tc>
        <w:tc>
          <w:tcPr>
            <w:tcW w:w="1144" w:type="dxa"/>
            <w:noWrap w:val="0"/>
            <w:vAlign w:val="center"/>
          </w:tcPr>
          <w:p w14:paraId="377BB94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6AE7BA7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r>
      <w:tr w14:paraId="4CD5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1108" w:type="dxa"/>
            <w:noWrap w:val="0"/>
            <w:vAlign w:val="center"/>
          </w:tcPr>
          <w:p w14:paraId="2F8F721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2</w:t>
            </w:r>
          </w:p>
        </w:tc>
        <w:tc>
          <w:tcPr>
            <w:tcW w:w="3015" w:type="dxa"/>
            <w:noWrap w:val="0"/>
            <w:vAlign w:val="center"/>
          </w:tcPr>
          <w:p w14:paraId="398C1179">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移动大屏</w:t>
            </w:r>
          </w:p>
        </w:tc>
        <w:tc>
          <w:tcPr>
            <w:tcW w:w="1144" w:type="dxa"/>
            <w:noWrap w:val="0"/>
            <w:vAlign w:val="center"/>
          </w:tcPr>
          <w:p w14:paraId="134E400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2F5B184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r>
      <w:tr w14:paraId="7E19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108" w:type="dxa"/>
            <w:noWrap w:val="0"/>
            <w:vAlign w:val="center"/>
          </w:tcPr>
          <w:p w14:paraId="3A239E6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3</w:t>
            </w:r>
          </w:p>
        </w:tc>
        <w:tc>
          <w:tcPr>
            <w:tcW w:w="3015" w:type="dxa"/>
            <w:noWrap w:val="0"/>
            <w:vAlign w:val="center"/>
          </w:tcPr>
          <w:p w14:paraId="204B8EEC">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LED拼接大屏</w:t>
            </w:r>
          </w:p>
        </w:tc>
        <w:tc>
          <w:tcPr>
            <w:tcW w:w="1144" w:type="dxa"/>
            <w:noWrap w:val="0"/>
            <w:vAlign w:val="center"/>
          </w:tcPr>
          <w:p w14:paraId="175D631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1351" w:type="dxa"/>
            <w:noWrap w:val="0"/>
            <w:vAlign w:val="center"/>
          </w:tcPr>
          <w:p w14:paraId="7F68E7F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14:paraId="0875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atLeast"/>
          <w:jc w:val="center"/>
        </w:trPr>
        <w:tc>
          <w:tcPr>
            <w:tcW w:w="1108" w:type="dxa"/>
            <w:noWrap w:val="0"/>
            <w:vAlign w:val="center"/>
          </w:tcPr>
          <w:p w14:paraId="6BFDDDA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4</w:t>
            </w:r>
          </w:p>
        </w:tc>
        <w:tc>
          <w:tcPr>
            <w:tcW w:w="3015" w:type="dxa"/>
            <w:noWrap w:val="0"/>
            <w:vAlign w:val="center"/>
          </w:tcPr>
          <w:p w14:paraId="7C6C3D7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智慧班牌机</w:t>
            </w:r>
          </w:p>
        </w:tc>
        <w:tc>
          <w:tcPr>
            <w:tcW w:w="1144" w:type="dxa"/>
            <w:noWrap w:val="0"/>
            <w:vAlign w:val="center"/>
          </w:tcPr>
          <w:p w14:paraId="4BDE93F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台</w:t>
            </w:r>
          </w:p>
        </w:tc>
        <w:tc>
          <w:tcPr>
            <w:tcW w:w="1351" w:type="dxa"/>
            <w:noWrap w:val="0"/>
            <w:vAlign w:val="center"/>
          </w:tcPr>
          <w:p w14:paraId="1161514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r w14:paraId="51C0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1108" w:type="dxa"/>
            <w:noWrap w:val="0"/>
            <w:vAlign w:val="center"/>
          </w:tcPr>
          <w:p w14:paraId="2521236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5</w:t>
            </w:r>
          </w:p>
        </w:tc>
        <w:tc>
          <w:tcPr>
            <w:tcW w:w="3015" w:type="dxa"/>
            <w:noWrap w:val="0"/>
            <w:vAlign w:val="center"/>
          </w:tcPr>
          <w:p w14:paraId="15AD8FFF">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门禁</w:t>
            </w:r>
          </w:p>
        </w:tc>
        <w:tc>
          <w:tcPr>
            <w:tcW w:w="1144" w:type="dxa"/>
            <w:noWrap w:val="0"/>
            <w:vAlign w:val="center"/>
          </w:tcPr>
          <w:p w14:paraId="761EACB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2C1FA0D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bl>
    <w:p w14:paraId="5F8A29A6">
      <w:pPr>
        <w:spacing w:line="360" w:lineRule="auto"/>
        <w:rPr>
          <w:rFonts w:hint="eastAsia" w:asciiTheme="minorEastAsia" w:hAnsiTheme="minorEastAsia" w:eastAsiaTheme="minorEastAsia" w:cstheme="minorEastAsia"/>
          <w:spacing w:val="-1"/>
          <w:sz w:val="24"/>
          <w:szCs w:val="24"/>
        </w:rPr>
      </w:pPr>
    </w:p>
    <w:p w14:paraId="1BBE65BA">
      <w:pPr>
        <w:spacing w:line="360" w:lineRule="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货物需求一览表</w:t>
      </w:r>
      <w:r>
        <w:rPr>
          <w:rFonts w:hint="eastAsia" w:asciiTheme="minorEastAsia" w:hAnsiTheme="minorEastAsia" w:eastAsiaTheme="minorEastAsia" w:cstheme="minorEastAsia"/>
          <w:spacing w:val="-1"/>
          <w:sz w:val="24"/>
          <w:szCs w:val="24"/>
          <w:lang w:eastAsia="zh-CN"/>
        </w:rPr>
        <w:t>：</w:t>
      </w:r>
    </w:p>
    <w:tbl>
      <w:tblPr>
        <w:tblStyle w:val="2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5"/>
        <w:gridCol w:w="986"/>
        <w:gridCol w:w="5716"/>
        <w:gridCol w:w="637"/>
        <w:gridCol w:w="722"/>
      </w:tblGrid>
      <w:tr w14:paraId="6136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7DC41679">
            <w:pPr>
              <w:jc w:val="center"/>
              <w:rPr>
                <w:rFonts w:ascii="宋体" w:hAnsi="宋体" w:cs="宋体"/>
                <w:b/>
                <w:sz w:val="24"/>
                <w:szCs w:val="24"/>
              </w:rPr>
            </w:pPr>
            <w:r>
              <w:rPr>
                <w:rFonts w:ascii="宋体" w:hAnsi="宋体" w:cs="宋体"/>
                <w:b/>
                <w:sz w:val="24"/>
                <w:szCs w:val="24"/>
              </w:rPr>
              <w:t>序号</w:t>
            </w:r>
          </w:p>
        </w:tc>
        <w:tc>
          <w:tcPr>
            <w:tcW w:w="986" w:type="dxa"/>
            <w:noWrap w:val="0"/>
            <w:vAlign w:val="center"/>
          </w:tcPr>
          <w:p w14:paraId="1464C672">
            <w:pPr>
              <w:jc w:val="center"/>
              <w:rPr>
                <w:rFonts w:hint="eastAsia" w:ascii="宋体" w:hAnsi="宋体" w:cs="宋体"/>
                <w:b/>
                <w:sz w:val="24"/>
                <w:szCs w:val="24"/>
              </w:rPr>
            </w:pPr>
            <w:r>
              <w:rPr>
                <w:rFonts w:ascii="宋体" w:hAnsi="宋体" w:cs="宋体"/>
                <w:b/>
                <w:sz w:val="24"/>
                <w:szCs w:val="24"/>
              </w:rPr>
              <w:t>设备名称</w:t>
            </w:r>
            <w:r>
              <w:rPr>
                <w:rFonts w:hint="eastAsia" w:ascii="宋体" w:hAnsi="宋体" w:cs="宋体"/>
                <w:b/>
                <w:sz w:val="24"/>
                <w:szCs w:val="24"/>
              </w:rPr>
              <w:t>/服务</w:t>
            </w:r>
            <w:r>
              <w:rPr>
                <w:rFonts w:ascii="宋体" w:hAnsi="宋体" w:cs="宋体"/>
                <w:b/>
                <w:sz w:val="24"/>
                <w:szCs w:val="24"/>
              </w:rPr>
              <w:t>内容</w:t>
            </w:r>
          </w:p>
        </w:tc>
        <w:tc>
          <w:tcPr>
            <w:tcW w:w="5716" w:type="dxa"/>
            <w:noWrap w:val="0"/>
            <w:vAlign w:val="center"/>
          </w:tcPr>
          <w:p w14:paraId="0CC630C3">
            <w:pPr>
              <w:jc w:val="center"/>
              <w:rPr>
                <w:rFonts w:ascii="宋体" w:hAnsi="宋体" w:cs="宋体"/>
                <w:b/>
                <w:sz w:val="24"/>
                <w:szCs w:val="24"/>
              </w:rPr>
            </w:pPr>
            <w:r>
              <w:rPr>
                <w:rFonts w:ascii="宋体" w:hAnsi="宋体" w:cs="宋体"/>
                <w:b/>
                <w:sz w:val="24"/>
                <w:szCs w:val="24"/>
              </w:rPr>
              <w:t>技术详细参数及相关要求</w:t>
            </w:r>
          </w:p>
        </w:tc>
        <w:tc>
          <w:tcPr>
            <w:tcW w:w="637" w:type="dxa"/>
            <w:noWrap w:val="0"/>
            <w:vAlign w:val="center"/>
          </w:tcPr>
          <w:p w14:paraId="5E97F1A3">
            <w:pPr>
              <w:jc w:val="center"/>
              <w:rPr>
                <w:rFonts w:ascii="宋体" w:hAnsi="宋体" w:cs="宋体"/>
                <w:b/>
                <w:sz w:val="24"/>
                <w:szCs w:val="24"/>
              </w:rPr>
            </w:pPr>
            <w:r>
              <w:rPr>
                <w:rFonts w:ascii="宋体" w:hAnsi="宋体" w:cs="宋体"/>
                <w:b/>
                <w:sz w:val="24"/>
                <w:szCs w:val="24"/>
              </w:rPr>
              <w:t>单位</w:t>
            </w:r>
          </w:p>
        </w:tc>
        <w:tc>
          <w:tcPr>
            <w:tcW w:w="722" w:type="dxa"/>
            <w:noWrap w:val="0"/>
            <w:vAlign w:val="center"/>
          </w:tcPr>
          <w:p w14:paraId="3B75D824">
            <w:pPr>
              <w:jc w:val="center"/>
              <w:rPr>
                <w:rFonts w:ascii="宋体" w:hAnsi="宋体" w:cs="宋体"/>
                <w:b/>
                <w:sz w:val="24"/>
                <w:szCs w:val="24"/>
              </w:rPr>
            </w:pPr>
            <w:r>
              <w:rPr>
                <w:rFonts w:ascii="宋体" w:hAnsi="宋体" w:cs="宋体"/>
                <w:b/>
                <w:sz w:val="24"/>
                <w:szCs w:val="24"/>
              </w:rPr>
              <w:t>数量</w:t>
            </w:r>
          </w:p>
        </w:tc>
      </w:tr>
      <w:tr w14:paraId="5AE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2058B4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86" w:type="dxa"/>
            <w:noWrap w:val="0"/>
            <w:vAlign w:val="center"/>
          </w:tcPr>
          <w:p w14:paraId="2674E4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智慧黑板</w:t>
            </w:r>
          </w:p>
        </w:tc>
        <w:tc>
          <w:tcPr>
            <w:tcW w:w="5716" w:type="dxa"/>
            <w:noWrap w:val="0"/>
            <w:vAlign w:val="top"/>
          </w:tcPr>
          <w:p w14:paraId="5E1D2D8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1、整机采用一体化设计，表面无尖锐边缘或凸起；前置接口边缘无棱角、无毛刺。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2、显示尺寸≥86英寸；电容触控；DLED背光源；水平可视角度：≥178°；垂直可视角度：≥178°；图像分辨率：≥3840×2160；灰阶等级：≥256级，液晶屏达到A级标准；全贴合工艺。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3、对比度≥5000:1；色域覆盖率（NTSC）≥90%；色域覆盖率（sRGB）≥130%；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4、支持三种图像模式，可对亮度、对比度、色度进行自定义调节。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5、采用≤3mm厚防眩光钢化玻璃；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6、自带安卓操作系统不低于Android9.0 ，与可插拔式电脑系统形成双系统。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7、内置双腔六驱大音响，≥4个发声单元，功率≥15W×2；内置四路麦克风阵列，支持≥12M拾音。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8、内置≥1300万像素摄像头，对角线视场角≥135°，水平视场角≥120°，支持3D降噪；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9、前置至少具备4个USB接口（其中USB3.0≥2，Type-C≥1），每个USB接口（含Type-C）均支持以下三种模式：安卓 USB、电脑 USB、智能USB，均支持Windows和Android 系统下被读取。</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10、整机提供侧置≥1路touch USB，≥1路USB2.0，≥1路HDMI输入，≥1路SPDIF输出，≥1路耳机输出，≥1路网口，≥1路串口（RS232）。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11、支持智慧黑板开机、支持智慧黑板待机、支持电脑开/关机；整机无物理还原按键，具有电脑还原功能，设置时弹出确认提示窗口。</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12、内置WiFi6模块，内置 2.4G/5G双频WiFi，支持WiFi 上网和建立热点，WiFi 和热点工作距离≥12米，WiFi 和热点支持频段 2.4G/5G；支持蓝牙5.2。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13、★整机可通过软件快捷键实现屏幕显示画面下移。</w:t>
            </w:r>
          </w:p>
          <w:p w14:paraId="1402206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14、OPS电脑：采用标准80pin数据传输接口。处理器≥Intel Core i5十二代；内存≧8G DDR4；硬盘≧256G SSD；内置正版Windows10系统及office办公软件</w:t>
            </w:r>
          </w:p>
        </w:tc>
        <w:tc>
          <w:tcPr>
            <w:tcW w:w="637" w:type="dxa"/>
            <w:noWrap w:val="0"/>
            <w:vAlign w:val="center"/>
          </w:tcPr>
          <w:p w14:paraId="0135A8F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90F17E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r>
      <w:tr w14:paraId="3A00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43F458E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86" w:type="dxa"/>
            <w:noWrap w:val="0"/>
            <w:vAlign w:val="center"/>
          </w:tcPr>
          <w:p w14:paraId="1DF4E4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移动大屏</w:t>
            </w:r>
          </w:p>
        </w:tc>
        <w:tc>
          <w:tcPr>
            <w:tcW w:w="5716" w:type="dxa"/>
            <w:noWrap w:val="0"/>
            <w:vAlign w:val="top"/>
          </w:tcPr>
          <w:p w14:paraId="1834C8C9">
            <w:pPr>
              <w:numPr>
                <w:ilvl w:val="0"/>
                <w:numId w:val="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显示尺寸：≥86英寸；DLED背光；待机功率≤0.5W；分辨率：3840×2160；液晶屏A级标准。显示比例：16:9；可视角度（水平）：≥178°；可视角度（垂直）：≥178°；灰阶：≥256级；采用全贴合工艺；红外触控技术。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2、安卓版本≥Android9.0；与可插拔式电脑系统形成双系统；整机安卓配置不低于4核CPU、2核GPU、4核协处理器，共计10 核；RAM≥2G，ROM≥16G。</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3、内置双腔六驱大音响，≥4个发声单元，功率15W×2。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4、内置≥1300万像素摄像头，对角线视场角≥135°，水平视场角≥120°。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5、内置四路麦克风阵列，支持≥12M拾音。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6、前置接口：具备至少前置一路USB2.0，两路USB3.0，一路Type-C。</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7、侧置接口：整机至少提供侧置1路touch USB，1路USB2.0，1路HDMI输入，1路SPDIF输出，1路耳机输出，1路网口，1路串口（RS232）。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8、支持调取中控菜单，支持锁定/解锁屏幕、支持一体机开机、支持一体机待机、支持电脑开/关机。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9、内置Wifi6模块，内置 2.4G/5G双频WiFi，支持WiFi上网和建立热点，WiFi 和热点工作距离≥12米，WiFi 和热点支持频段 2.4G/5G；支持蓝牙5.2。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10、★无物理还原按键，具有电脑还原功能。</w:t>
            </w:r>
          </w:p>
          <w:p w14:paraId="047FACC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11、OPS电脑：采用标准80pin数据传输接口。处理器≥Intel Core i5十二代；内存≧8G DDR4；硬盘≧256G SSD；内置正版Windows10系统及office办公软件；</w:t>
            </w:r>
          </w:p>
          <w:p w14:paraId="55C63D9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12、包含移动支架；</w:t>
            </w:r>
          </w:p>
        </w:tc>
        <w:tc>
          <w:tcPr>
            <w:tcW w:w="637" w:type="dxa"/>
            <w:noWrap w:val="0"/>
            <w:vAlign w:val="center"/>
          </w:tcPr>
          <w:p w14:paraId="5AB5CC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A74757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r>
      <w:tr w14:paraId="5C6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50F2E2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86" w:type="dxa"/>
            <w:noWrap w:val="0"/>
            <w:vAlign w:val="center"/>
          </w:tcPr>
          <w:p w14:paraId="0EAC44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LED拼接大屏</w:t>
            </w:r>
          </w:p>
        </w:tc>
        <w:tc>
          <w:tcPr>
            <w:tcW w:w="5716" w:type="dxa"/>
            <w:noWrap w:val="0"/>
            <w:vAlign w:val="top"/>
          </w:tcPr>
          <w:p w14:paraId="7ED2CE35">
            <w:pPr>
              <w:numPr>
                <w:ilvl w:val="0"/>
                <w:numId w:val="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显示屏（24.58平）：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1、像素间距：≤1.86mm；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2、功率：要求LED显示屏峰值功耗≤390W/㎡，平均功耗≤130W/㎡，在600nits亮度下；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3、可视角度（水平/垂直）：≥175°/ 175°；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4、灰度等级：16Bit;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5、刷新率（Hz）：≥3840Hz；；换帧频率≥30Hz，其最高可支持120HZ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6、色温范围：范围1000K-15000K，支持范围内调节；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7、亮度：产品亮度&gt;600cd/㎡；</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8、亮度均匀性：校正前≥98%，校正后≥99%；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9、★接插件要求：采用镀金工艺，镀层厚度≥1um；</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10、平均失效工作时间：LED示屏的平均失效间隔工作时间MTBF不低于5500h；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11、使用寿命：≥100000H。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12、LED表面硬度测试：具备HRC3级硬度。 </w:t>
            </w:r>
          </w:p>
          <w:p w14:paraId="609E237F">
            <w:pPr>
              <w:numPr>
                <w:ilvl w:val="0"/>
                <w:numId w:val="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包含：电源、接收卡、处理器、音柱、机柜、配电柜、钢结构、广播、安装调试、备品备件等。</w:t>
            </w:r>
          </w:p>
        </w:tc>
        <w:tc>
          <w:tcPr>
            <w:tcW w:w="637" w:type="dxa"/>
            <w:noWrap w:val="0"/>
            <w:vAlign w:val="center"/>
          </w:tcPr>
          <w:p w14:paraId="78D8E8B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722" w:type="dxa"/>
            <w:noWrap w:val="0"/>
            <w:vAlign w:val="center"/>
          </w:tcPr>
          <w:p w14:paraId="44FB10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14:paraId="156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05F3B8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86" w:type="dxa"/>
            <w:noWrap w:val="0"/>
            <w:vAlign w:val="center"/>
          </w:tcPr>
          <w:p w14:paraId="6992895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智慧班牌机</w:t>
            </w:r>
          </w:p>
        </w:tc>
        <w:tc>
          <w:tcPr>
            <w:tcW w:w="5716" w:type="dxa"/>
            <w:noWrap w:val="0"/>
            <w:vAlign w:val="top"/>
          </w:tcPr>
          <w:p w14:paraId="4C65270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1、壁挂安装，液晶尺寸 22寸，屏显比例 16:9，分辨率1920*1080，背光类型LED,主板CPU超强四核Cortex-A17,频率1.8GHz;系统运行内存2G;系统存储8G；显示屏需采用 LED 高清IPS屏;亮度≧500cd/m2;对比度≧3000:1;显示色彩≥16.7M colors ;可视角度:左右 178 度，上下 178 度;使用寿命&gt;50000小时 触摸屏采用G+G电容屏，需支持不少于十点触摸;响应速度&lt;3ms; </w:t>
            </w:r>
          </w:p>
          <w:p w14:paraId="5E64590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2、摄像头≥200万1080p 高清宽动态;须支持人脸识别及活体检测功能 喇叭:2*2W/8Ω立体声喇叭，支持视频声音播放 读卡器:支持 IC/ID读卡，13.5MHz 通用频率;支持协议:14443协议；兼容多种多媒体格式，视频格式支持 4K、H.265硬解码，支持1080P视频播放，支持 wmv、avi、flv、rm、rmvb、mpeg、mp4等;支持人脸识别考勤；</w:t>
            </w:r>
          </w:p>
          <w:p w14:paraId="259A62F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3、防水防尘结构设计，适用于学校教室半户外环境，防护等级不低于 IP65；背部与墙面微距全贴合，背面与平整墙面间隙最大处≤2.5mm，保障教学环境的安全性，班牌机最大厚度≤ 30mm；</w:t>
            </w:r>
          </w:p>
          <w:p w14:paraId="404ACA8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4、具备不少于 2 路 USB，具有USB 加密功能，普通U盘插入无法读取；</w:t>
            </w:r>
          </w:p>
          <w:p w14:paraId="79CF6D0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滑动功能，支持滑动班牌界面，终端默认显示三组界面显示样式，在增加不同显示模式时，界面自动弹出副组件显示页面；校园天地功能，支持创建多级页面可创建二级、三级、四级等满足学校的显示需要，可用于显示校园文化展示、班级文化展示、学校资质展示、学校荣誉展示等； </w:t>
            </w:r>
          </w:p>
          <w:p w14:paraId="5995803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相册幻灯片播放，支持点击班级相册，弹出多组相册分组，点击其中一组相册，可实现照片的自动幻灯片播放；多模式自动切换功能，班牌显示支持通过时间自动切换不同显示模式，需包含有班牌模式、上课模式、课间模式、考场模式、考试提醒模式、欢迎模式等；</w:t>
            </w:r>
          </w:p>
          <w:p w14:paraId="0C6778F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7、巡课功能，支持在班级门口即可完成对教室的学生和教师的巡课；</w:t>
            </w:r>
          </w:p>
          <w:p w14:paraId="49C5F56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考勤显示表盘形式展示可显示学生签到信息，如正常、迟到、请假、缺卡等，内置签到日历功能，学生或者老师可以查询以往的签到信息；动态课表，以时间轴形式展示，根据课程时间自动显示当前教室课程信息，当此课程上课时界面动态醒目显示此课程名称，为动态课表增光添彩；</w:t>
            </w:r>
          </w:p>
          <w:p w14:paraId="2DE220B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9、第三方应用，支持管理员或教师添加第三方应用链接，可以显示此应用的logo图标和名称； </w:t>
            </w:r>
          </w:p>
          <w:p w14:paraId="55B815A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10、上课模式展示界面，支持显示班级或校园公告、学生课程考勤、上课信息显示；上课信息需支持显示课程名称、课程时间、授课教师、课程倒计时等信息； </w:t>
            </w:r>
          </w:p>
          <w:p w14:paraId="65164A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11、需支持通过人脸或刷卡进入个人中心，支持查询个人信息、课程提醒信息、个人课程表、个人考勤统计等；</w:t>
            </w:r>
          </w:p>
          <w:p w14:paraId="0DFAA25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12、为了学校信息化数据安全，智慧班牌系统必须为本地部署方式，不接受云部署方案。</w:t>
            </w:r>
          </w:p>
          <w:p w14:paraId="44D1870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13、需支持多色状态灯，支持单色、双色混合、多色混合等混合模式，支持常亮、闪烁等不同的亮灯模式，可以通过呼吸灯颜色和亮灯状态判断当前教室的使用状态、考勤状态等； </w:t>
            </w:r>
          </w:p>
          <w:p w14:paraId="0E2BAD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为保障智慧班牌机播放安全性，班牌终端系统应采用独占进程式运行模式，且机身上应无任何物理、虚拟退出按键，避免学生任意退出班牌程序。如需退出程序进入班牌设置，需采用特殊手势唤醒密码认证，通过认证后进入终端设置页面；</w:t>
            </w:r>
          </w:p>
          <w:p w14:paraId="149D6FB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15、★采用一体式融合设计，集成摄像头、读卡器、状态灯带、音响、全向拾音咪头（拾音2米内）、WiFi模块等外设于一体，无任何外设连接线外露。</w:t>
            </w:r>
          </w:p>
          <w:p w14:paraId="4FE6519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16、提供与学校原有班牌管理系统无逢对接的承诺函。</w:t>
            </w:r>
          </w:p>
        </w:tc>
        <w:tc>
          <w:tcPr>
            <w:tcW w:w="637" w:type="dxa"/>
            <w:noWrap w:val="0"/>
            <w:vAlign w:val="center"/>
          </w:tcPr>
          <w:p w14:paraId="4E83C2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722" w:type="dxa"/>
            <w:noWrap w:val="0"/>
            <w:vAlign w:val="center"/>
          </w:tcPr>
          <w:p w14:paraId="77BDF66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r>
      <w:tr w14:paraId="155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2C827D7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86" w:type="dxa"/>
            <w:noWrap w:val="0"/>
            <w:vAlign w:val="center"/>
          </w:tcPr>
          <w:p w14:paraId="6E8F23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门禁</w:t>
            </w:r>
          </w:p>
        </w:tc>
        <w:tc>
          <w:tcPr>
            <w:tcW w:w="5716" w:type="dxa"/>
            <w:noWrap w:val="0"/>
            <w:vAlign w:val="top"/>
          </w:tcPr>
          <w:p w14:paraId="266C8F2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磁力锁参数</w:t>
            </w:r>
          </w:p>
          <w:p w14:paraId="2BCA2E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1、工作电流  0.45A  </w:t>
            </w:r>
          </w:p>
          <w:p w14:paraId="38DAA3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2、工作温度  -25～60℃  </w:t>
            </w:r>
          </w:p>
          <w:p w14:paraId="0880CF3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3、安全类型  断电开锁  </w:t>
            </w:r>
          </w:p>
          <w:p w14:paraId="740A933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4、适用范围  玻璃门、木门、铁门 </w:t>
            </w:r>
          </w:p>
          <w:p w14:paraId="46769DE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5、包含出门按钮、门禁电源、闭门器  </w:t>
            </w:r>
          </w:p>
        </w:tc>
        <w:tc>
          <w:tcPr>
            <w:tcW w:w="637" w:type="dxa"/>
            <w:noWrap w:val="0"/>
            <w:vAlign w:val="center"/>
          </w:tcPr>
          <w:p w14:paraId="68EADC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21E65F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r>
    </w:tbl>
    <w:p w14:paraId="7E682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15CC9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本标段核心产品为：</w:t>
      </w:r>
      <w:r>
        <w:rPr>
          <w:rFonts w:hint="eastAsia" w:asciiTheme="minorEastAsia" w:hAnsiTheme="minorEastAsia" w:eastAsiaTheme="minorEastAsia" w:cstheme="minorEastAsia"/>
          <w:b/>
          <w:bCs/>
          <w:spacing w:val="-1"/>
          <w:sz w:val="24"/>
          <w:szCs w:val="24"/>
          <w:u w:val="single"/>
          <w:lang w:val="en-US" w:eastAsia="zh-CN"/>
        </w:rPr>
        <w:t>移动大屏</w:t>
      </w:r>
    </w:p>
    <w:p w14:paraId="3616EF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宋体" w:hAnsi="宋体" w:eastAsia="宋体" w:cs="宋体"/>
          <w:snapToGrid w:val="0"/>
          <w:color w:val="000000"/>
          <w:kern w:val="0"/>
          <w:sz w:val="24"/>
          <w:szCs w:val="24"/>
          <w:lang w:val="en-US" w:eastAsia="zh-CN" w:bidi="ar-SA"/>
        </w:rPr>
      </w:pPr>
      <w:r>
        <w:rPr>
          <w:rFonts w:hint="eastAsia" w:asciiTheme="minorEastAsia" w:hAnsiTheme="minorEastAsia" w:eastAsiaTheme="minorEastAsia" w:cstheme="minorEastAsia"/>
          <w:spacing w:val="-1"/>
          <w:sz w:val="24"/>
          <w:szCs w:val="24"/>
          <w:lang w:val="en-US" w:eastAsia="zh-CN"/>
        </w:rPr>
        <w:t>（1）多家投标人提供的核心产品品牌相同且通过资格审查、符合性审查的，按一家投标人计算，评审后得分最高的同品牌投标人获得中标人推荐。</w:t>
      </w:r>
    </w:p>
    <w:p w14:paraId="0769DFF3">
      <w:pPr>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（2）多家投标人提供的核心产品品牌相同且通过资格审查、符合性审查的，按一家投标人计算，评审后得分最高的同品牌投标人获得中标人推荐。</w:t>
      </w:r>
    </w:p>
    <w:p w14:paraId="07E8D4E9">
      <w:pPr>
        <w:rPr>
          <w:rFonts w:hint="eastAsia" w:asciiTheme="minorEastAsia" w:hAnsiTheme="minorEastAsia" w:eastAsiaTheme="minorEastAsia" w:cstheme="minorEastAsia"/>
          <w:spacing w:val="-1"/>
          <w:sz w:val="24"/>
          <w:szCs w:val="24"/>
          <w:lang w:val="en-US" w:eastAsia="zh-CN"/>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0123C12">
      <w:pPr>
        <w:pStyle w:val="6"/>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交货要求</w:t>
      </w:r>
    </w:p>
    <w:p w14:paraId="7FC9CDF9">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sz w:val="24"/>
          <w:szCs w:val="24"/>
          <w:highlight w:val="none"/>
          <w:lang w:eastAsia="zh-CN"/>
        </w:rPr>
        <w:t>1.1交货时间：签证合同</w:t>
      </w:r>
      <w:r>
        <w:rPr>
          <w:rFonts w:hint="eastAsia" w:cs="宋体"/>
          <w:sz w:val="24"/>
          <w:szCs w:val="24"/>
          <w:highlight w:val="none"/>
          <w:lang w:val="en-US" w:eastAsia="zh-CN"/>
        </w:rPr>
        <w:t>并接到甲方安装通知后30日历天内，乙方</w:t>
      </w:r>
      <w:r>
        <w:rPr>
          <w:rFonts w:hint="eastAsia" w:ascii="宋体" w:hAnsi="宋体" w:eastAsia="宋体" w:cs="宋体"/>
          <w:sz w:val="24"/>
          <w:szCs w:val="24"/>
          <w:highlight w:val="none"/>
          <w:lang w:eastAsia="zh-CN"/>
        </w:rPr>
        <w:t>将货物</w:t>
      </w:r>
      <w:r>
        <w:rPr>
          <w:rFonts w:hint="eastAsia" w:cs="宋体"/>
          <w:sz w:val="24"/>
          <w:szCs w:val="24"/>
          <w:highlight w:val="none"/>
          <w:lang w:val="en-US" w:eastAsia="zh-CN"/>
        </w:rPr>
        <w:t>按甲方要求</w:t>
      </w:r>
      <w:r>
        <w:rPr>
          <w:rFonts w:hint="eastAsia" w:ascii="宋体" w:hAnsi="宋体" w:eastAsia="宋体" w:cs="宋体"/>
          <w:sz w:val="24"/>
          <w:szCs w:val="24"/>
          <w:highlight w:val="none"/>
          <w:lang w:eastAsia="zh-CN"/>
        </w:rPr>
        <w:t>在河南工业职业技术学院</w:t>
      </w:r>
      <w:r>
        <w:rPr>
          <w:rFonts w:hint="eastAsia" w:cs="宋体"/>
          <w:sz w:val="24"/>
          <w:szCs w:val="24"/>
          <w:highlight w:val="none"/>
          <w:lang w:val="en-US" w:eastAsia="zh-CN"/>
        </w:rPr>
        <w:t>指定地点交货、安装、调试完毕。</w:t>
      </w:r>
      <w:r>
        <w:rPr>
          <w:rFonts w:hint="eastAsia" w:ascii="宋体" w:hAnsi="宋体" w:eastAsia="宋体" w:cs="宋体"/>
          <w:sz w:val="24"/>
          <w:szCs w:val="24"/>
          <w:highlight w:val="none"/>
          <w:lang w:eastAsia="zh-CN"/>
        </w:rPr>
        <w:t>并具备使用条件，如遇恶劣天气顺延</w:t>
      </w:r>
      <w:r>
        <w:rPr>
          <w:rFonts w:hint="eastAsia" w:cs="宋体"/>
          <w:sz w:val="24"/>
          <w:szCs w:val="24"/>
          <w:highlight w:val="none"/>
          <w:lang w:eastAsia="zh-CN"/>
        </w:rPr>
        <w:t>。</w:t>
      </w:r>
    </w:p>
    <w:p w14:paraId="447B47C5">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ascii="宋体" w:hAnsi="宋体" w:eastAsia="宋体" w:cs="宋体"/>
          <w:color w:val="000000"/>
          <w:sz w:val="24"/>
          <w:szCs w:val="24"/>
          <w:highlight w:val="none"/>
          <w:u w:val="single"/>
          <w:lang w:eastAsia="zh-CN"/>
        </w:rPr>
        <w:t>河南工业职业技术学院</w:t>
      </w:r>
      <w:r>
        <w:rPr>
          <w:rFonts w:hint="eastAsia" w:ascii="宋体" w:hAnsi="宋体" w:eastAsia="宋体" w:cs="宋体"/>
          <w:color w:val="auto"/>
          <w:sz w:val="24"/>
          <w:szCs w:val="24"/>
          <w:highlight w:val="none"/>
          <w:lang w:eastAsia="zh-CN"/>
        </w:rPr>
        <w:t>；</w:t>
      </w:r>
    </w:p>
    <w:p w14:paraId="5220C6A5">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2.付款方式：</w:t>
      </w:r>
      <w:r>
        <w:rPr>
          <w:rFonts w:hint="eastAsia"/>
          <w:sz w:val="24"/>
          <w:szCs w:val="24"/>
          <w:lang w:eastAsia="zh-CN"/>
        </w:rPr>
        <w:t>货物按照采购人指定地点安装调试完毕、验收检测合格后一次性支付全部货款。</w:t>
      </w:r>
    </w:p>
    <w:p w14:paraId="1739E05D">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3.包装和运输（须满足财政部《关于印发〈商品包装政府采购需求标准（试行）〉、〈快递包装政府采购需求标准（试行）〉的通知》（财办库﹝2020﹞123 号）。</w:t>
      </w:r>
    </w:p>
    <w:p w14:paraId="022C7B37">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4.质保期</w:t>
      </w:r>
    </w:p>
    <w:p w14:paraId="19FD8575">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5"/>
          <w:sz w:val="24"/>
          <w:szCs w:val="24"/>
          <w:lang w:eastAsia="zh-CN"/>
        </w:rPr>
      </w:pPr>
      <w:r>
        <w:rPr>
          <w:rFonts w:hint="eastAsia" w:ascii="宋体" w:hAnsi="宋体" w:eastAsia="宋体" w:cs="宋体"/>
          <w:spacing w:val="-8"/>
          <w:sz w:val="24"/>
          <w:szCs w:val="24"/>
          <w:lang w:eastAsia="zh-CN"/>
        </w:rPr>
        <w:t>4.1</w:t>
      </w:r>
      <w:r>
        <w:rPr>
          <w:rFonts w:hint="eastAsia"/>
          <w:color w:val="auto"/>
          <w:sz w:val="24"/>
          <w:szCs w:val="24"/>
          <w:lang w:eastAsia="zh-CN"/>
        </w:rPr>
        <w:t>质量保证期为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3</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ascii="宋体" w:hAnsi="宋体" w:eastAsia="宋体" w:cs="宋体"/>
          <w:color w:val="auto"/>
          <w:spacing w:val="-5"/>
          <w:sz w:val="24"/>
          <w:szCs w:val="24"/>
          <w:lang w:eastAsia="zh-CN"/>
        </w:rPr>
        <w:t>自验收合格之日起开始计算。</w:t>
      </w:r>
    </w:p>
    <w:p w14:paraId="4E8E2830">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14:paraId="0ACC4D98">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val="en-US" w:eastAsia="zh-CN"/>
        </w:rPr>
        <w:t>4.3</w:t>
      </w:r>
      <w:r>
        <w:rPr>
          <w:rFonts w:hint="eastAsia" w:ascii="宋体" w:hAnsi="宋体" w:eastAsia="宋体" w:cs="宋体"/>
          <w:spacing w:val="-5"/>
          <w:sz w:val="24"/>
          <w:szCs w:val="24"/>
          <w:lang w:eastAsia="zh-CN"/>
        </w:rPr>
        <w:t>本项目要求培训维护管理人员4人以上，须达到对一般故障能够排除；提供对最终用户培训2场以上，能够对本项目内的产品进行操作及应用。为保证现有系统的使用完整性，供应商需提供和学校资源池无缝对接安装、调试的服务承诺。</w:t>
      </w:r>
    </w:p>
    <w:p w14:paraId="7A4CDD4D">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5"/>
          <w:sz w:val="24"/>
          <w:szCs w:val="24"/>
          <w:lang w:eastAsia="zh-CN"/>
        </w:rPr>
      </w:pPr>
      <w:r>
        <w:rPr>
          <w:rFonts w:hint="eastAsia" w:ascii="宋体" w:hAnsi="宋体" w:eastAsia="宋体" w:cs="宋体"/>
          <w:spacing w:val="-2"/>
          <w:sz w:val="24"/>
          <w:szCs w:val="24"/>
          <w:lang w:eastAsia="zh-CN"/>
        </w:rPr>
        <w:t>5.</w:t>
      </w:r>
      <w:r>
        <w:rPr>
          <w:rFonts w:hint="eastAsia" w:ascii="宋体" w:hAnsi="宋体" w:eastAsia="宋体" w:cs="宋体"/>
          <w:spacing w:val="-5"/>
          <w:sz w:val="24"/>
          <w:szCs w:val="24"/>
          <w:lang w:eastAsia="zh-CN"/>
        </w:rPr>
        <w:t>关于强制节能产品的要求：</w:t>
      </w:r>
    </w:p>
    <w:p w14:paraId="57F0680F">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w:t>
      </w:r>
      <w:r>
        <w:rPr>
          <w:rFonts w:hint="eastAsia" w:ascii="宋体" w:hAnsi="宋体" w:cs="宋体"/>
          <w:spacing w:val="-5"/>
          <w:sz w:val="24"/>
          <w:szCs w:val="24"/>
          <w:lang w:val="en-US" w:eastAsia="zh-CN"/>
        </w:rPr>
        <w:t>1</w:t>
      </w:r>
      <w:r>
        <w:rPr>
          <w:rFonts w:hint="eastAsia" w:ascii="宋体" w:hAnsi="宋体" w:eastAsia="宋体" w:cs="宋体"/>
          <w:spacing w:val="-5"/>
          <w:sz w:val="24"/>
          <w:szCs w:val="24"/>
          <w:lang w:eastAsia="zh-CN"/>
        </w:rPr>
        <w:t>强制采购的节能产品:</w:t>
      </w:r>
      <w:r>
        <w:rPr>
          <w:rFonts w:hint="eastAsia" w:ascii="宋体" w:hAnsi="宋体" w:cs="宋体"/>
          <w:spacing w:val="-5"/>
          <w:sz w:val="24"/>
          <w:szCs w:val="24"/>
          <w:lang w:val="en-US" w:eastAsia="zh-CN"/>
        </w:rPr>
        <w:t>计算机、打印机、显示器</w:t>
      </w:r>
      <w:r>
        <w:rPr>
          <w:rFonts w:hint="eastAsia" w:ascii="宋体" w:hAnsi="宋体" w:eastAsia="宋体" w:cs="宋体"/>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49720D91">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5.3投标人所投产品如属于政府优先节能产品或环境标志产品或无线局域网产品，应提供处于有效期之内认证证书等相关证明，在评标时予以优先采购。</w:t>
      </w:r>
    </w:p>
    <w:p w14:paraId="3C76D604">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宋体" w:hAnsi="宋体" w:eastAsia="宋体" w:cs="宋体"/>
          <w:spacing w:val="-5"/>
          <w:sz w:val="24"/>
          <w:szCs w:val="24"/>
          <w:lang w:eastAsia="zh-CN"/>
        </w:rPr>
        <w:t>上述政策以国家发布最新为准，未尽事宜，按国家有关规定执行。</w:t>
      </w:r>
    </w:p>
    <w:p w14:paraId="09E4B2B0">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6.验收标准及方式：</w:t>
      </w:r>
    </w:p>
    <w:p w14:paraId="232FBCFB">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6.1验收小组应由采购人、使用单位、受邀的第三方组成。</w:t>
      </w:r>
    </w:p>
    <w:p w14:paraId="2D01FD2F">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6.2货物验收：</w:t>
      </w:r>
    </w:p>
    <w:p w14:paraId="1C35EE80">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738DFDC3">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6.3安装验收：</w:t>
      </w:r>
    </w:p>
    <w:p w14:paraId="195BF212">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货物及组装材料验收合格后方可进行安装调试，安装调试应以达到采购人正常使用为标准。中标人向验收小组发出全面验收邀请。</w:t>
      </w:r>
    </w:p>
    <w:p w14:paraId="3ED0446F">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14:paraId="747F69C1">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样品，样品提供要求、方式、摆放时间及地点</w:t>
      </w:r>
    </w:p>
    <w:p w14:paraId="036DAD70">
      <w:pPr>
        <w:pStyle w:val="6"/>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sz w:val="24"/>
          <w:szCs w:val="24"/>
          <w:lang w:eastAsia="zh-CN"/>
        </w:rPr>
      </w:pP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样品。</w:t>
      </w:r>
    </w:p>
    <w:p w14:paraId="266BD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.质量要求：满足采购人需求，符合国家及行业相关标准。</w:t>
      </w:r>
    </w:p>
    <w:p w14:paraId="03DE19F2">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lang w:eastAsia="zh-CN"/>
        </w:rPr>
        <w:t>其他要求：中标人在供货安装调试过程中，如对采购人原设备、物品有损坏的应无偿恢复。</w:t>
      </w:r>
    </w:p>
    <w:p w14:paraId="34F21295">
      <w:pPr>
        <w:pStyle w:val="6"/>
        <w:rPr>
          <w:rFonts w:hint="default"/>
          <w:lang w:val="en-US" w:eastAsia="zh-CN"/>
        </w:rPr>
      </w:pPr>
    </w:p>
    <w:p w14:paraId="32BB7F5E">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31BBED1">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01749FF">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966BFC3">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74D291A">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C3CB081">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8C82E57">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CE62C80">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E41D1D2">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6603EC6">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CB96206">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3441F4E">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bookmarkStart w:id="0" w:name="_GoBack"/>
      <w:bookmarkEnd w:id="0"/>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B7005E">
            <w:pPr>
              <w:pStyle w:val="3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3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3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3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7D2B4C4">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726817">
            <w:pPr>
              <w:pStyle w:val="32"/>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906B0F7">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1B16A7F">
            <w:pPr>
              <w:pStyle w:val="32"/>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宋体" w:hAnsi="宋体" w:eastAsia="宋体" w:cs="宋体"/>
                <w:spacing w:val="14"/>
                <w:sz w:val="24"/>
                <w:szCs w:val="24"/>
                <w:u w:val="single"/>
                <w:lang w:val="en-US" w:eastAsia="zh-CN"/>
              </w:rPr>
              <w:t>制造业</w:t>
            </w:r>
            <w:r>
              <w:rPr>
                <w:rFonts w:hint="eastAsia" w:ascii="宋体" w:hAnsi="宋体" w:eastAsia="宋体" w:cs="宋体"/>
                <w:spacing w:val="14"/>
                <w:sz w:val="24"/>
                <w:szCs w:val="24"/>
                <w:u w:val="single"/>
                <w:lang w:eastAsia="zh-CN"/>
              </w:rPr>
              <w:t xml:space="preserve"> </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p>
          <w:p w14:paraId="7A83C1E5">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0073295C">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ind w:firstLine="268" w:firstLineChars="10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本项目预留部分采购项目预算专门面向小微企业采购。对于预留份额，提供的货物由符合政策要求的小微企业制造、服务由符合政策要求的小微企业承接。预留份额通过以下措施进行：预留金额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127.1256</w:t>
            </w:r>
            <w:r>
              <w:rPr>
                <w:rFonts w:hint="eastAsia" w:asciiTheme="minorEastAsia" w:hAnsiTheme="minorEastAsia" w:eastAsiaTheme="minorEastAsia" w:cstheme="minorEastAsia"/>
                <w:snapToGrid w:val="0"/>
                <w:color w:val="000000"/>
                <w:spacing w:val="14"/>
                <w:kern w:val="0"/>
                <w:sz w:val="24"/>
                <w:szCs w:val="24"/>
                <w:lang w:val="en-US" w:eastAsia="zh-CN" w:bidi="ar-SA"/>
              </w:rPr>
              <w:t>万元。</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64A7879">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3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3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3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napToGrid w:val="0"/>
                <w:color w:val="000000"/>
                <w:spacing w:val="29"/>
                <w:kern w:val="0"/>
                <w:sz w:val="24"/>
                <w:szCs w:val="24"/>
                <w:u w:val="single"/>
                <w:lang w:val="en-US" w:eastAsia="zh-CN" w:bidi="ar-SA"/>
              </w:rPr>
              <w:t>第三标段：211.876万元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19D06A4">
            <w:pPr>
              <w:pStyle w:val="18"/>
              <w:ind w:left="0" w:leftChars="0" w:firstLine="0" w:firstLineChars="0"/>
              <w:rPr>
                <w:rFonts w:hint="default"/>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第三标段</w:t>
            </w:r>
            <w:r>
              <w:rPr>
                <w:rFonts w:hint="eastAsia" w:ascii="宋体" w:hAnsi="宋体"/>
                <w:color w:val="000000"/>
                <w:sz w:val="24"/>
                <w:szCs w:val="24"/>
              </w:rPr>
              <w:t>核心产品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移动大屏</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AC1475A">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28450553">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4355A955">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FFC28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211.876</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A6D0D4F">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pacing w:val="-24"/>
          <w:sz w:val="24"/>
          <w:szCs w:val="24"/>
          <w:u w:val="single"/>
        </w:rPr>
        <w:t>人工智能实训条件提升项目</w:t>
      </w:r>
      <w:r>
        <w:rPr>
          <w:rFonts w:hint="eastAsia" w:eastAsia="宋体" w:asciiTheme="minorEastAsia" w:hAnsiTheme="minorEastAsia" w:cstheme="minorEastAsia"/>
          <w:sz w:val="24"/>
          <w:lang w:eastAsia="zh-CN"/>
        </w:rPr>
        <w:t>。</w:t>
      </w:r>
    </w:p>
    <w:p w14:paraId="537E018C">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2AC96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4109A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186C9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30"/>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3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2482C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EF52879">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FE48D39">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CCB4BC9">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93032B">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EA652BF">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AF37138">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92A4F38">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64D2831">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E914DF5">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280C50B">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51FB964">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2"/>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2"/>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2"/>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32"/>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2"/>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2"/>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2"/>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2"/>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2"/>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32"/>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2"/>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32"/>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2"/>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2"/>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1803DC8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24D0D66">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FA7D2C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D1446D5">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5F059A5">
      <w:pPr>
        <w:pStyle w:val="7"/>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2087328">
      <w:pPr>
        <w:pStyle w:val="6"/>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CAE7A0C">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2A4B8904">
      <w:pPr>
        <w:pStyle w:val="6"/>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87DAAC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5F41906F">
      <w:pPr>
        <w:pStyle w:val="6"/>
        <w:rPr>
          <w:rFonts w:hint="eastAsia" w:ascii="宋体" w:hAnsi="宋体" w:eastAsia="宋体" w:cs="宋体"/>
          <w:b/>
          <w:bCs/>
          <w:snapToGrid w:val="0"/>
          <w:color w:val="000000"/>
          <w:kern w:val="2"/>
          <w:sz w:val="24"/>
          <w:szCs w:val="24"/>
          <w:lang w:val="en-US" w:eastAsia="zh-CN" w:bidi="ar-SA"/>
        </w:rPr>
      </w:pPr>
    </w:p>
    <w:p w14:paraId="1BA02136">
      <w:pPr>
        <w:pStyle w:val="6"/>
        <w:jc w:val="center"/>
        <w:rPr>
          <w:rFonts w:hint="eastAsia" w:ascii="宋体" w:hAnsi="宋体" w:eastAsia="宋体" w:cs="宋体"/>
          <w:b/>
          <w:bCs/>
          <w:snapToGrid w:val="0"/>
          <w:color w:val="000000"/>
          <w:kern w:val="2"/>
          <w:sz w:val="24"/>
          <w:szCs w:val="24"/>
          <w:lang w:val="en-US" w:eastAsia="zh-CN" w:bidi="ar-SA"/>
        </w:rPr>
      </w:pPr>
    </w:p>
    <w:p w14:paraId="33C9B014">
      <w:pPr>
        <w:pStyle w:val="6"/>
        <w:jc w:val="center"/>
        <w:rPr>
          <w:rFonts w:hint="eastAsia" w:ascii="宋体" w:hAnsi="宋体" w:eastAsia="宋体" w:cs="宋体"/>
          <w:b/>
          <w:bCs/>
          <w:snapToGrid w:val="0"/>
          <w:color w:val="000000"/>
          <w:kern w:val="2"/>
          <w:sz w:val="24"/>
          <w:szCs w:val="24"/>
          <w:lang w:val="en-US" w:eastAsia="zh-CN" w:bidi="ar-SA"/>
        </w:rPr>
      </w:pPr>
    </w:p>
    <w:p w14:paraId="40F39313">
      <w:pPr>
        <w:pStyle w:val="6"/>
        <w:jc w:val="center"/>
        <w:rPr>
          <w:rFonts w:hint="eastAsia" w:ascii="宋体" w:hAnsi="宋体" w:eastAsia="宋体" w:cs="宋体"/>
          <w:b/>
          <w:bCs/>
          <w:snapToGrid w:val="0"/>
          <w:color w:val="000000"/>
          <w:kern w:val="2"/>
          <w:sz w:val="24"/>
          <w:szCs w:val="24"/>
          <w:lang w:val="en-US" w:eastAsia="zh-CN" w:bidi="ar-SA"/>
        </w:rPr>
      </w:pPr>
    </w:p>
    <w:p w14:paraId="4DB2A1D6">
      <w:pPr>
        <w:pStyle w:val="6"/>
        <w:jc w:val="center"/>
        <w:rPr>
          <w:rFonts w:hint="eastAsia" w:ascii="宋体" w:hAnsi="宋体" w:eastAsia="宋体" w:cs="宋体"/>
          <w:b/>
          <w:bCs/>
          <w:snapToGrid w:val="0"/>
          <w:color w:val="000000"/>
          <w:kern w:val="2"/>
          <w:sz w:val="24"/>
          <w:szCs w:val="24"/>
          <w:lang w:val="en-US" w:eastAsia="zh-CN" w:bidi="ar-SA"/>
        </w:rPr>
      </w:pPr>
    </w:p>
    <w:p w14:paraId="55A1EE33">
      <w:pPr>
        <w:pStyle w:val="6"/>
        <w:jc w:val="center"/>
        <w:rPr>
          <w:rFonts w:hint="eastAsia" w:ascii="宋体" w:hAnsi="宋体" w:eastAsia="宋体" w:cs="宋体"/>
          <w:b/>
          <w:bCs/>
          <w:snapToGrid w:val="0"/>
          <w:color w:val="000000"/>
          <w:kern w:val="2"/>
          <w:sz w:val="24"/>
          <w:szCs w:val="24"/>
          <w:lang w:val="en-US" w:eastAsia="zh-CN" w:bidi="ar-SA"/>
        </w:rPr>
      </w:pPr>
    </w:p>
    <w:p w14:paraId="380F529E">
      <w:pPr>
        <w:pStyle w:val="6"/>
        <w:jc w:val="center"/>
        <w:rPr>
          <w:rFonts w:hint="eastAsia" w:ascii="宋体" w:hAnsi="宋体" w:eastAsia="宋体" w:cs="宋体"/>
          <w:b/>
          <w:bCs/>
          <w:snapToGrid w:val="0"/>
          <w:color w:val="000000"/>
          <w:kern w:val="2"/>
          <w:sz w:val="24"/>
          <w:szCs w:val="24"/>
          <w:lang w:val="en-US" w:eastAsia="zh-CN" w:bidi="ar-SA"/>
        </w:rPr>
      </w:pPr>
    </w:p>
    <w:p w14:paraId="683AD0C3">
      <w:pPr>
        <w:pStyle w:val="6"/>
        <w:jc w:val="center"/>
        <w:rPr>
          <w:rFonts w:hint="eastAsia" w:ascii="宋体" w:hAnsi="宋体" w:eastAsia="宋体" w:cs="宋体"/>
          <w:b/>
          <w:bCs/>
          <w:snapToGrid w:val="0"/>
          <w:color w:val="000000"/>
          <w:kern w:val="2"/>
          <w:sz w:val="24"/>
          <w:szCs w:val="24"/>
          <w:lang w:val="en-US" w:eastAsia="zh-CN" w:bidi="ar-SA"/>
        </w:rPr>
      </w:pPr>
    </w:p>
    <w:p w14:paraId="1E54A579">
      <w:pPr>
        <w:pStyle w:val="6"/>
        <w:jc w:val="center"/>
        <w:rPr>
          <w:rFonts w:hint="eastAsia" w:ascii="宋体" w:hAnsi="宋体" w:eastAsia="宋体" w:cs="宋体"/>
          <w:b/>
          <w:bCs/>
          <w:snapToGrid w:val="0"/>
          <w:color w:val="000000"/>
          <w:kern w:val="2"/>
          <w:sz w:val="24"/>
          <w:szCs w:val="24"/>
          <w:lang w:val="en-US" w:eastAsia="zh-CN" w:bidi="ar-SA"/>
        </w:rPr>
      </w:pPr>
    </w:p>
    <w:p w14:paraId="38A2B849">
      <w:pPr>
        <w:pStyle w:val="6"/>
        <w:jc w:val="center"/>
        <w:rPr>
          <w:rFonts w:hint="eastAsia" w:ascii="宋体" w:hAnsi="宋体" w:eastAsia="宋体" w:cs="宋体"/>
          <w:b/>
          <w:bCs/>
          <w:snapToGrid w:val="0"/>
          <w:color w:val="000000"/>
          <w:kern w:val="2"/>
          <w:sz w:val="24"/>
          <w:szCs w:val="24"/>
          <w:lang w:val="en-US" w:eastAsia="zh-CN" w:bidi="ar-SA"/>
        </w:rPr>
      </w:pPr>
    </w:p>
    <w:p w14:paraId="3DDF12C2">
      <w:pPr>
        <w:pStyle w:val="6"/>
        <w:jc w:val="center"/>
        <w:rPr>
          <w:rFonts w:hint="eastAsia" w:ascii="宋体" w:hAnsi="宋体" w:eastAsia="宋体" w:cs="宋体"/>
          <w:b/>
          <w:bCs/>
          <w:snapToGrid w:val="0"/>
          <w:color w:val="000000"/>
          <w:kern w:val="2"/>
          <w:sz w:val="24"/>
          <w:szCs w:val="24"/>
          <w:lang w:val="en-US" w:eastAsia="zh-CN" w:bidi="ar-SA"/>
        </w:rPr>
      </w:pPr>
    </w:p>
    <w:p w14:paraId="3E45D698">
      <w:pPr>
        <w:pStyle w:val="6"/>
        <w:jc w:val="center"/>
        <w:rPr>
          <w:rFonts w:hint="eastAsia" w:ascii="宋体" w:hAnsi="宋体" w:eastAsia="宋体" w:cs="宋体"/>
          <w:b/>
          <w:bCs/>
          <w:snapToGrid w:val="0"/>
          <w:color w:val="000000"/>
          <w:kern w:val="2"/>
          <w:sz w:val="24"/>
          <w:szCs w:val="24"/>
          <w:lang w:val="en-US" w:eastAsia="zh-CN" w:bidi="ar-SA"/>
        </w:rPr>
      </w:pPr>
    </w:p>
    <w:p w14:paraId="122E5522">
      <w:pPr>
        <w:pStyle w:val="6"/>
        <w:jc w:val="center"/>
        <w:rPr>
          <w:rFonts w:hint="eastAsia" w:ascii="宋体" w:hAnsi="宋体" w:eastAsia="宋体" w:cs="宋体"/>
          <w:b/>
          <w:bCs/>
          <w:snapToGrid w:val="0"/>
          <w:color w:val="000000"/>
          <w:kern w:val="2"/>
          <w:sz w:val="24"/>
          <w:szCs w:val="24"/>
          <w:lang w:val="en-US" w:eastAsia="zh-CN" w:bidi="ar-SA"/>
        </w:rPr>
      </w:pPr>
    </w:p>
    <w:p w14:paraId="45FB4A6B">
      <w:pPr>
        <w:pStyle w:val="6"/>
        <w:jc w:val="center"/>
        <w:rPr>
          <w:rFonts w:hint="eastAsia" w:ascii="宋体" w:hAnsi="宋体" w:eastAsia="宋体" w:cs="宋体"/>
          <w:b/>
          <w:bCs/>
          <w:snapToGrid w:val="0"/>
          <w:color w:val="000000"/>
          <w:kern w:val="2"/>
          <w:sz w:val="24"/>
          <w:szCs w:val="24"/>
          <w:lang w:val="en-US" w:eastAsia="zh-CN" w:bidi="ar-SA"/>
        </w:rPr>
      </w:pPr>
    </w:p>
    <w:p w14:paraId="3A6526BE">
      <w:pPr>
        <w:pStyle w:val="6"/>
        <w:jc w:val="center"/>
        <w:rPr>
          <w:rFonts w:hint="eastAsia" w:ascii="宋体" w:hAnsi="宋体" w:eastAsia="宋体" w:cs="宋体"/>
          <w:b/>
          <w:bCs/>
          <w:snapToGrid w:val="0"/>
          <w:color w:val="000000"/>
          <w:kern w:val="2"/>
          <w:sz w:val="24"/>
          <w:szCs w:val="24"/>
          <w:lang w:val="en-US" w:eastAsia="zh-CN" w:bidi="ar-SA"/>
        </w:rPr>
      </w:pPr>
    </w:p>
    <w:p w14:paraId="2C76DDBF">
      <w:pPr>
        <w:pStyle w:val="6"/>
        <w:jc w:val="center"/>
        <w:rPr>
          <w:rFonts w:hint="eastAsia" w:ascii="宋体" w:hAnsi="宋体" w:eastAsia="宋体" w:cs="宋体"/>
          <w:b/>
          <w:bCs/>
          <w:snapToGrid w:val="0"/>
          <w:color w:val="000000"/>
          <w:kern w:val="2"/>
          <w:sz w:val="24"/>
          <w:szCs w:val="24"/>
          <w:lang w:val="en-US" w:eastAsia="zh-CN" w:bidi="ar-SA"/>
        </w:rPr>
      </w:pPr>
    </w:p>
    <w:p w14:paraId="2FBB479D">
      <w:pPr>
        <w:pStyle w:val="6"/>
        <w:jc w:val="center"/>
        <w:rPr>
          <w:rFonts w:hint="eastAsia" w:ascii="宋体" w:hAnsi="宋体" w:eastAsia="宋体" w:cs="宋体"/>
          <w:b/>
          <w:bCs/>
          <w:snapToGrid w:val="0"/>
          <w:color w:val="000000"/>
          <w:kern w:val="2"/>
          <w:sz w:val="32"/>
          <w:szCs w:val="32"/>
          <w:lang w:val="en-US" w:eastAsia="zh-CN" w:bidi="ar-SA"/>
        </w:rPr>
      </w:pPr>
      <w:r>
        <w:rPr>
          <w:rFonts w:hint="eastAsia" w:ascii="宋体" w:hAnsi="宋体" w:eastAsia="宋体" w:cs="宋体"/>
          <w:b/>
          <w:bCs/>
          <w:snapToGrid w:val="0"/>
          <w:color w:val="000000"/>
          <w:kern w:val="2"/>
          <w:sz w:val="32"/>
          <w:szCs w:val="32"/>
          <w:lang w:val="en-US" w:eastAsia="zh-CN" w:bidi="ar-SA"/>
        </w:rPr>
        <w:t>评分标准</w:t>
      </w:r>
    </w:p>
    <w:p w14:paraId="27549CA3">
      <w:pPr>
        <w:pStyle w:val="6"/>
        <w:rPr>
          <w:rFonts w:hint="eastAsia" w:ascii="宋体" w:hAnsi="宋体" w:eastAsia="宋体" w:cs="宋体"/>
          <w:b/>
          <w:bCs/>
          <w:snapToGrid w:val="0"/>
          <w:color w:val="000000"/>
          <w:kern w:val="2"/>
          <w:sz w:val="24"/>
          <w:szCs w:val="24"/>
          <w:lang w:val="en-US" w:eastAsia="zh-CN" w:bidi="ar-SA"/>
        </w:rPr>
      </w:pPr>
    </w:p>
    <w:p w14:paraId="58497DA6">
      <w:pPr>
        <w:pStyle w:val="6"/>
        <w:rPr>
          <w:rFonts w:hint="eastAsia" w:ascii="宋体" w:hAnsi="宋体" w:eastAsia="宋体" w:cs="宋体"/>
          <w:b/>
          <w:bCs/>
          <w:snapToGrid w:val="0"/>
          <w:color w:val="000000"/>
          <w:kern w:val="2"/>
          <w:sz w:val="24"/>
          <w:szCs w:val="24"/>
          <w:lang w:val="en-US" w:eastAsia="zh-CN" w:bidi="ar-SA"/>
        </w:rPr>
      </w:pPr>
    </w:p>
    <w:p w14:paraId="30FFA144">
      <w:pPr>
        <w:pStyle w:val="6"/>
        <w:rPr>
          <w:rFonts w:hint="eastAsia"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第</w:t>
      </w:r>
      <w:r>
        <w:rPr>
          <w:rFonts w:hint="eastAsia" w:cs="宋体"/>
          <w:b/>
          <w:bCs/>
          <w:snapToGrid w:val="0"/>
          <w:color w:val="000000"/>
          <w:kern w:val="2"/>
          <w:sz w:val="24"/>
          <w:szCs w:val="24"/>
          <w:lang w:val="en-US" w:eastAsia="zh-CN" w:bidi="ar-SA"/>
        </w:rPr>
        <w:t>三</w:t>
      </w:r>
      <w:r>
        <w:rPr>
          <w:rFonts w:hint="eastAsia" w:ascii="宋体" w:hAnsi="宋体" w:eastAsia="宋体" w:cs="宋体"/>
          <w:b/>
          <w:bCs/>
          <w:snapToGrid w:val="0"/>
          <w:color w:val="000000"/>
          <w:kern w:val="2"/>
          <w:sz w:val="24"/>
          <w:szCs w:val="24"/>
          <w:lang w:val="en-US" w:eastAsia="zh-CN" w:bidi="ar-SA"/>
        </w:rPr>
        <w:t>标段</w:t>
      </w:r>
      <w:r>
        <w:rPr>
          <w:rFonts w:hint="eastAsia" w:ascii="宋体" w:hAnsi="宋体" w:cs="宋体"/>
          <w:b/>
          <w:bCs/>
          <w:spacing w:val="0"/>
          <w:sz w:val="28"/>
          <w:szCs w:val="28"/>
          <w:lang w:eastAsia="zh-CN"/>
        </w:rPr>
        <w:t>：</w:t>
      </w:r>
      <w:r>
        <w:rPr>
          <w:rFonts w:hint="eastAsia"/>
          <w:b/>
          <w:bCs/>
          <w:color w:val="000000"/>
          <w:sz w:val="24"/>
          <w:szCs w:val="24"/>
          <w:lang w:val="en-US" w:eastAsia="zh-CN"/>
        </w:rPr>
        <w:t>教学设备</w:t>
      </w:r>
      <w:r>
        <w:rPr>
          <w:rFonts w:hint="eastAsia" w:ascii="宋体" w:hAnsi="宋体"/>
          <w:b/>
          <w:bCs/>
          <w:color w:val="000000"/>
          <w:sz w:val="24"/>
          <w:szCs w:val="24"/>
        </w:rPr>
        <w:t>采购</w:t>
      </w:r>
      <w:r>
        <w:rPr>
          <w:rFonts w:hint="eastAsia" w:ascii="宋体" w:hAnsi="宋体" w:eastAsia="宋体" w:cs="宋体"/>
          <w:b/>
          <w:bCs/>
          <w:snapToGrid w:val="0"/>
          <w:color w:val="000000"/>
          <w:kern w:val="2"/>
          <w:sz w:val="24"/>
          <w:szCs w:val="24"/>
          <w:lang w:val="en-US" w:eastAsia="zh-CN" w:bidi="ar-SA"/>
        </w:rPr>
        <w:t>项目</w:t>
      </w:r>
      <w:r>
        <w:rPr>
          <w:rFonts w:hint="eastAsia" w:cs="宋体"/>
          <w:b/>
          <w:bCs/>
          <w:snapToGrid w:val="0"/>
          <w:color w:val="000000"/>
          <w:kern w:val="2"/>
          <w:sz w:val="24"/>
          <w:szCs w:val="24"/>
          <w:lang w:val="en-US" w:eastAsia="zh-CN" w:bidi="ar-SA"/>
        </w:rPr>
        <w:t xml:space="preserve"> </w:t>
      </w:r>
    </w:p>
    <w:p w14:paraId="6BAD179E">
      <w:pPr>
        <w:numPr>
          <w:ilvl w:val="0"/>
          <w:numId w:val="0"/>
        </w:numPr>
        <w:spacing w:line="360" w:lineRule="auto"/>
        <w:rPr>
          <w:rFonts w:hint="eastAsia" w:ascii="宋体" w:hAnsi="宋体" w:eastAsia="宋体"/>
          <w:b/>
          <w:bCs/>
          <w:color w:val="000000"/>
          <w:sz w:val="24"/>
          <w:szCs w:val="24"/>
          <w:lang w:val="en-US" w:eastAsia="zh-CN"/>
        </w:rPr>
      </w:pPr>
      <w:r>
        <w:rPr>
          <w:rFonts w:hint="eastAsia" w:ascii="宋体" w:hAnsi="宋体"/>
          <w:b/>
          <w:bCs/>
          <w:color w:val="000000"/>
          <w:sz w:val="24"/>
          <w:szCs w:val="24"/>
        </w:rPr>
        <w:t>评分标准</w:t>
      </w:r>
      <w:r>
        <w:rPr>
          <w:rFonts w:hint="eastAsia" w:ascii="宋体" w:hAnsi="宋体" w:eastAsia="宋体"/>
          <w:b/>
          <w:bCs/>
          <w:color w:val="000000"/>
          <w:sz w:val="24"/>
          <w:szCs w:val="24"/>
          <w:lang w:val="en-US" w:eastAsia="zh-CN"/>
        </w:rPr>
        <w:t>:</w:t>
      </w:r>
    </w:p>
    <w:p w14:paraId="775BD9CF">
      <w:pPr>
        <w:spacing w:line="360" w:lineRule="auto"/>
        <w:jc w:val="left"/>
        <w:rPr>
          <w:rFonts w:hint="eastAsia" w:ascii="宋体" w:hAnsi="宋体"/>
          <w:b/>
          <w:bCs/>
          <w:color w:val="000000"/>
          <w:sz w:val="24"/>
          <w:szCs w:val="24"/>
        </w:rPr>
      </w:pPr>
      <w:r>
        <w:rPr>
          <w:rFonts w:hint="eastAsia" w:ascii="宋体" w:hAnsi="宋体"/>
          <w:b/>
          <w:bCs/>
          <w:color w:val="000000"/>
          <w:sz w:val="24"/>
          <w:szCs w:val="24"/>
        </w:rPr>
        <w:t>1、投标报价。满分3</w:t>
      </w:r>
      <w:r>
        <w:rPr>
          <w:rFonts w:hint="eastAsia" w:ascii="宋体" w:hAnsi="宋体" w:eastAsia="宋体"/>
          <w:b/>
          <w:bCs/>
          <w:color w:val="000000"/>
          <w:sz w:val="24"/>
          <w:szCs w:val="24"/>
          <w:lang w:val="en-US" w:eastAsia="zh-CN"/>
        </w:rPr>
        <w:t>5</w:t>
      </w:r>
      <w:r>
        <w:rPr>
          <w:rFonts w:hint="eastAsia" w:ascii="宋体" w:hAnsi="宋体"/>
          <w:b/>
          <w:bCs/>
          <w:color w:val="000000"/>
          <w:sz w:val="24"/>
          <w:szCs w:val="24"/>
        </w:rPr>
        <w:t>分</w:t>
      </w:r>
    </w:p>
    <w:p w14:paraId="4CFFF471">
      <w:pPr>
        <w:autoSpaceDE w:val="0"/>
        <w:autoSpaceDN w:val="0"/>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满足招标文件要求且投标价格最低的投标报价为评标基准价，其价格分为满分。其余各投标人的投标报价得分=评标基准价÷投标报价×3</w:t>
      </w:r>
      <w:r>
        <w:rPr>
          <w:rFonts w:hint="eastAsia" w:ascii="宋体" w:hAnsi="宋体" w:eastAsia="宋体"/>
          <w:color w:val="000000"/>
          <w:sz w:val="24"/>
          <w:szCs w:val="24"/>
          <w:lang w:val="en-US" w:eastAsia="zh-CN"/>
        </w:rPr>
        <w:t>5</w:t>
      </w:r>
      <w:r>
        <w:rPr>
          <w:rFonts w:hint="eastAsia" w:ascii="宋体" w:hAnsi="宋体"/>
          <w:color w:val="000000"/>
          <w:sz w:val="24"/>
          <w:szCs w:val="24"/>
        </w:rPr>
        <w:t>分。</w:t>
      </w:r>
    </w:p>
    <w:p w14:paraId="2415E3DF">
      <w:pPr>
        <w:spacing w:line="360" w:lineRule="auto"/>
        <w:rPr>
          <w:rFonts w:hint="eastAsia" w:ascii="宋体" w:hAnsi="宋体"/>
          <w:b/>
          <w:bCs/>
          <w:color w:val="000000"/>
          <w:sz w:val="24"/>
          <w:szCs w:val="24"/>
        </w:rPr>
      </w:pPr>
      <w:r>
        <w:rPr>
          <w:rFonts w:hint="eastAsia" w:ascii="宋体" w:hAnsi="宋体"/>
          <w:b/>
          <w:bCs/>
          <w:color w:val="000000"/>
          <w:sz w:val="24"/>
          <w:szCs w:val="24"/>
        </w:rPr>
        <w:t>2、技术部分</w:t>
      </w:r>
      <w:r>
        <w:rPr>
          <w:rFonts w:hint="eastAsia" w:ascii="宋体" w:hAnsi="宋体" w:eastAsia="宋体"/>
          <w:b/>
          <w:bCs/>
          <w:color w:val="000000"/>
          <w:sz w:val="24"/>
          <w:szCs w:val="24"/>
          <w:lang w:eastAsia="zh-CN"/>
        </w:rPr>
        <w:t>。</w:t>
      </w:r>
      <w:r>
        <w:rPr>
          <w:rFonts w:hint="eastAsia" w:ascii="宋体" w:hAnsi="宋体"/>
          <w:b/>
          <w:bCs/>
          <w:color w:val="000000"/>
          <w:sz w:val="24"/>
          <w:szCs w:val="24"/>
        </w:rPr>
        <w:t xml:space="preserve"> 满分</w:t>
      </w:r>
      <w:r>
        <w:rPr>
          <w:rFonts w:hint="eastAsia" w:ascii="宋体" w:hAnsi="宋体" w:eastAsia="宋体"/>
          <w:b/>
          <w:bCs/>
          <w:color w:val="000000"/>
          <w:sz w:val="24"/>
          <w:szCs w:val="24"/>
          <w:lang w:val="en-US" w:eastAsia="zh-CN"/>
        </w:rPr>
        <w:t>30</w:t>
      </w:r>
      <w:r>
        <w:rPr>
          <w:rFonts w:hint="eastAsia" w:ascii="宋体" w:hAnsi="宋体"/>
          <w:b/>
          <w:bCs/>
          <w:color w:val="000000"/>
          <w:sz w:val="24"/>
          <w:szCs w:val="24"/>
        </w:rPr>
        <w:t>分</w:t>
      </w:r>
    </w:p>
    <w:p w14:paraId="72890A83">
      <w:pPr>
        <w:spacing w:line="360" w:lineRule="auto"/>
        <w:rPr>
          <w:rFonts w:hint="eastAsia" w:ascii="宋体" w:hAnsi="宋体"/>
          <w:color w:val="000000"/>
          <w:sz w:val="24"/>
          <w:szCs w:val="24"/>
        </w:rPr>
      </w:pPr>
      <w:r>
        <w:rPr>
          <w:rFonts w:hint="eastAsia" w:ascii="宋体" w:hAnsi="宋体"/>
          <w:color w:val="000000"/>
          <w:sz w:val="24"/>
          <w:szCs w:val="24"/>
        </w:rPr>
        <w:t>（1）完全满足招标文件技术参数的，得25分。</w:t>
      </w:r>
    </w:p>
    <w:p w14:paraId="5AEF8491">
      <w:pPr>
        <w:spacing w:line="360" w:lineRule="auto"/>
        <w:ind w:firstLine="465"/>
        <w:rPr>
          <w:rFonts w:hint="eastAsia" w:ascii="宋体" w:hAnsi="宋体"/>
          <w:color w:val="000000"/>
          <w:sz w:val="24"/>
          <w:szCs w:val="24"/>
        </w:rPr>
      </w:pPr>
      <w:r>
        <w:rPr>
          <w:rFonts w:hint="eastAsia" w:ascii="宋体" w:hAnsi="宋体"/>
          <w:color w:val="000000"/>
          <w:sz w:val="24"/>
          <w:szCs w:val="24"/>
        </w:rPr>
        <w:t>评标委员会根据投标人提供的产品技术证明等文件，判断所投产品是否满足招标文件的要求。</w:t>
      </w:r>
    </w:p>
    <w:p w14:paraId="21095979">
      <w:pPr>
        <w:spacing w:line="360" w:lineRule="auto"/>
        <w:ind w:firstLine="465"/>
        <w:rPr>
          <w:rFonts w:ascii="宋体" w:hAnsi="宋体"/>
          <w:color w:val="auto"/>
          <w:sz w:val="24"/>
          <w:szCs w:val="24"/>
        </w:rPr>
      </w:pPr>
      <w:r>
        <w:rPr>
          <w:rFonts w:hint="eastAsia" w:ascii="宋体" w:hAnsi="宋体"/>
          <w:color w:val="auto"/>
          <w:sz w:val="24"/>
          <w:szCs w:val="24"/>
        </w:rPr>
        <w:t>其中“★”指标5项：有一项不满足扣2分，非“★”指标55项：每有1条不满足扣0.5分。</w:t>
      </w:r>
    </w:p>
    <w:p w14:paraId="27B363AC">
      <w:pPr>
        <w:spacing w:line="360" w:lineRule="auto"/>
        <w:ind w:firstLine="465"/>
        <w:rPr>
          <w:rFonts w:ascii="宋体" w:hAnsi="宋体"/>
          <w:color w:val="000000"/>
          <w:sz w:val="24"/>
          <w:szCs w:val="24"/>
        </w:rPr>
      </w:pPr>
      <w:r>
        <w:rPr>
          <w:rFonts w:hint="eastAsia" w:ascii="宋体" w:hAnsi="宋体"/>
          <w:color w:val="000000"/>
          <w:sz w:val="24"/>
          <w:szCs w:val="24"/>
        </w:rPr>
        <w:t>整个</w:t>
      </w:r>
      <w:r>
        <w:rPr>
          <w:rFonts w:ascii="宋体" w:hAnsi="宋体"/>
          <w:color w:val="000000"/>
          <w:sz w:val="24"/>
          <w:szCs w:val="24"/>
        </w:rPr>
        <w:t>文件</w:t>
      </w:r>
      <w:r>
        <w:rPr>
          <w:rFonts w:hint="eastAsia" w:ascii="宋体" w:hAnsi="宋体"/>
          <w:color w:val="000000"/>
          <w:sz w:val="24"/>
          <w:szCs w:val="24"/>
        </w:rPr>
        <w:t>超过15条不满足视为响应文件有重大或不可接受的偏差，响应文件无效。</w:t>
      </w:r>
    </w:p>
    <w:p w14:paraId="67F0D08D">
      <w:pPr>
        <w:spacing w:line="360" w:lineRule="auto"/>
        <w:ind w:firstLine="465"/>
        <w:rPr>
          <w:rFonts w:hint="eastAsia" w:ascii="宋体" w:hAnsi="宋体"/>
          <w:color w:val="000000"/>
          <w:sz w:val="24"/>
          <w:szCs w:val="24"/>
        </w:rPr>
      </w:pPr>
      <w:r>
        <w:rPr>
          <w:rFonts w:hint="eastAsia" w:ascii="宋体" w:hAnsi="宋体"/>
          <w:color w:val="000000"/>
          <w:sz w:val="24"/>
          <w:szCs w:val="24"/>
        </w:rPr>
        <w:t>技术参数偏差表中标注“正偏差”或“负偏差”或“无偏差”；正偏差视同满足，负偏差按要求扣分，未提供或不满足招标文件“采购需求”要求的，则扣除对应分值。</w:t>
      </w:r>
    </w:p>
    <w:p w14:paraId="59D55B3A">
      <w:pPr>
        <w:spacing w:line="360" w:lineRule="auto"/>
        <w:ind w:firstLine="465"/>
        <w:rPr>
          <w:rFonts w:hint="eastAsia" w:ascii="宋体" w:hAnsi="宋体"/>
          <w:color w:val="000000"/>
          <w:sz w:val="24"/>
          <w:szCs w:val="24"/>
        </w:rPr>
      </w:pPr>
      <w:r>
        <w:rPr>
          <w:rFonts w:hint="eastAsia" w:ascii="宋体" w:hAnsi="宋体"/>
          <w:color w:val="000000"/>
          <w:sz w:val="24"/>
          <w:szCs w:val="24"/>
        </w:rPr>
        <w:t>★项在投标文件中须提供证明材料，不提供或提供不完整视为不满足</w:t>
      </w:r>
    </w:p>
    <w:p w14:paraId="18388846">
      <w:pPr>
        <w:spacing w:line="360" w:lineRule="auto"/>
        <w:ind w:firstLine="465"/>
        <w:rPr>
          <w:rFonts w:hint="eastAsia" w:ascii="宋体" w:hAnsi="宋体"/>
          <w:color w:val="000000"/>
          <w:sz w:val="24"/>
          <w:szCs w:val="24"/>
        </w:rPr>
      </w:pPr>
      <w:r>
        <w:rPr>
          <w:rFonts w:hint="eastAsia" w:ascii="宋体" w:hAnsi="宋体"/>
          <w:color w:val="000000"/>
          <w:sz w:val="24"/>
          <w:szCs w:val="24"/>
        </w:rPr>
        <w:t>本次招标活动接受以下技术证明(任何一种均可)：</w:t>
      </w:r>
    </w:p>
    <w:p w14:paraId="0EF0D59D">
      <w:pPr>
        <w:spacing w:line="360" w:lineRule="auto"/>
        <w:ind w:firstLine="465"/>
        <w:rPr>
          <w:rFonts w:hint="eastAsia" w:ascii="宋体" w:hAnsi="宋体"/>
          <w:color w:val="000000"/>
          <w:sz w:val="24"/>
          <w:szCs w:val="24"/>
        </w:rPr>
      </w:pPr>
      <w:r>
        <w:rPr>
          <w:rFonts w:hint="eastAsia" w:ascii="宋体" w:hAnsi="宋体"/>
          <w:color w:val="000000"/>
          <w:sz w:val="24"/>
          <w:szCs w:val="24"/>
        </w:rPr>
        <w:t>①提供所投设备在社会上公开发布的带技术参数的宣传彩页；</w:t>
      </w:r>
    </w:p>
    <w:p w14:paraId="19B0A0DC">
      <w:pPr>
        <w:spacing w:line="360" w:lineRule="auto"/>
        <w:ind w:firstLine="465"/>
        <w:rPr>
          <w:rFonts w:hint="eastAsia" w:ascii="宋体" w:hAnsi="宋体"/>
          <w:color w:val="000000"/>
          <w:sz w:val="24"/>
          <w:szCs w:val="24"/>
        </w:rPr>
      </w:pPr>
      <w:r>
        <w:rPr>
          <w:rFonts w:hint="eastAsia" w:ascii="宋体" w:hAnsi="宋体"/>
          <w:color w:val="000000"/>
          <w:sz w:val="24"/>
          <w:szCs w:val="24"/>
        </w:rPr>
        <w:t>②提供互联网上下载打印的彩页截图，必须标明详细的查询网址，方可为有效货物技术证明；</w:t>
      </w:r>
    </w:p>
    <w:p w14:paraId="662AD146">
      <w:pPr>
        <w:spacing w:line="360" w:lineRule="auto"/>
        <w:ind w:firstLine="465"/>
        <w:rPr>
          <w:rFonts w:hint="eastAsia" w:ascii="宋体" w:hAnsi="宋体"/>
          <w:color w:val="auto"/>
          <w:sz w:val="24"/>
          <w:szCs w:val="24"/>
        </w:rPr>
      </w:pPr>
      <w:r>
        <w:rPr>
          <w:rFonts w:hint="eastAsia" w:ascii="宋体" w:hAnsi="宋体"/>
          <w:color w:val="auto"/>
          <w:sz w:val="24"/>
          <w:szCs w:val="24"/>
        </w:rPr>
        <w:t>③检测机构出具的检测报告；</w:t>
      </w:r>
    </w:p>
    <w:p w14:paraId="09000E04">
      <w:pPr>
        <w:spacing w:line="360" w:lineRule="auto"/>
        <w:ind w:firstLine="465"/>
        <w:rPr>
          <w:rFonts w:hint="eastAsia" w:ascii="宋体" w:hAnsi="宋体"/>
          <w:color w:val="auto"/>
          <w:sz w:val="24"/>
          <w:szCs w:val="24"/>
        </w:rPr>
      </w:pPr>
      <w:r>
        <w:rPr>
          <w:rFonts w:hint="eastAsia" w:ascii="宋体" w:hAnsi="宋体"/>
          <w:color w:val="auto"/>
          <w:sz w:val="24"/>
          <w:szCs w:val="24"/>
        </w:rPr>
        <w:t>④产品界面截图；</w:t>
      </w:r>
    </w:p>
    <w:p w14:paraId="490551E5">
      <w:pPr>
        <w:spacing w:line="360" w:lineRule="auto"/>
        <w:ind w:firstLine="465"/>
        <w:rPr>
          <w:rFonts w:hint="eastAsia" w:ascii="宋体" w:hAnsi="宋体"/>
          <w:color w:val="000000"/>
          <w:sz w:val="24"/>
          <w:szCs w:val="24"/>
        </w:rPr>
      </w:pPr>
      <w:r>
        <w:rPr>
          <w:rFonts w:hint="eastAsia" w:ascii="宋体" w:hAnsi="宋体"/>
          <w:color w:val="000000"/>
          <w:sz w:val="24"/>
          <w:szCs w:val="24"/>
        </w:rPr>
        <w:t>⑤其他可作为技术证明的材料。</w:t>
      </w:r>
    </w:p>
    <w:p w14:paraId="437C91F6">
      <w:pPr>
        <w:spacing w:line="360" w:lineRule="auto"/>
        <w:rPr>
          <w:rFonts w:ascii="宋体" w:hAnsi="宋体"/>
          <w:color w:val="000000"/>
          <w:sz w:val="24"/>
          <w:szCs w:val="24"/>
        </w:rPr>
      </w:pPr>
      <w:r>
        <w:rPr>
          <w:rFonts w:hint="eastAsia" w:ascii="宋体" w:hAnsi="宋体"/>
          <w:color w:val="000000"/>
          <w:sz w:val="24"/>
          <w:szCs w:val="24"/>
        </w:rPr>
        <w:t>（2）产品综合评价，5分。</w:t>
      </w:r>
    </w:p>
    <w:p w14:paraId="61FC2D9E">
      <w:pPr>
        <w:spacing w:line="360" w:lineRule="auto"/>
        <w:ind w:firstLine="465"/>
        <w:rPr>
          <w:rFonts w:hint="eastAsia" w:ascii="宋体" w:hAnsi="宋体"/>
          <w:color w:val="000000"/>
          <w:sz w:val="24"/>
          <w:szCs w:val="24"/>
        </w:rPr>
      </w:pPr>
      <w:r>
        <w:rPr>
          <w:rFonts w:hint="eastAsia" w:ascii="宋体" w:hAnsi="宋体"/>
          <w:color w:val="000000"/>
          <w:sz w:val="24"/>
          <w:szCs w:val="24"/>
        </w:rPr>
        <w:t xml:space="preserve">评标委员会对比投标人所投产品的质量档次、产品兼容性、整体性能，根据其技术方案是否科学合理、先进可靠、成熟详尽，是否能扩展，是否具有可控性等情况进行综合评价，具体分值范围如下： </w:t>
      </w:r>
    </w:p>
    <w:p w14:paraId="509E7176">
      <w:pPr>
        <w:numPr>
          <w:ilvl w:val="0"/>
          <w:numId w:val="0"/>
        </w:numPr>
        <w:spacing w:line="360" w:lineRule="auto"/>
        <w:ind w:leftChars="200"/>
        <w:rPr>
          <w:rFonts w:hint="eastAsia" w:ascii="宋体" w:hAnsi="宋体"/>
          <w:color w:val="000000"/>
          <w:sz w:val="24"/>
          <w:szCs w:val="24"/>
          <w:highlight w:val="none"/>
        </w:rPr>
      </w:pPr>
      <w:r>
        <w:rPr>
          <w:rFonts w:hint="default" w:ascii="Calibri" w:hAnsi="Calibri" w:cs="Calibri"/>
          <w:color w:val="000000"/>
          <w:sz w:val="24"/>
          <w:szCs w:val="24"/>
        </w:rPr>
        <w:t>①</w:t>
      </w:r>
      <w:r>
        <w:rPr>
          <w:rFonts w:hint="eastAsia" w:ascii="宋体" w:hAnsi="宋体"/>
          <w:color w:val="000000"/>
          <w:sz w:val="24"/>
          <w:szCs w:val="24"/>
        </w:rPr>
        <w:t>所投产品质量好、档次高，产品兼容性强，整体性能优秀，技术方案非常合理成熟、先进可靠、内容齐全，可扩展、可控性强，对招标文件的响</w:t>
      </w:r>
      <w:r>
        <w:rPr>
          <w:rFonts w:hint="eastAsia" w:ascii="宋体" w:hAnsi="宋体"/>
          <w:color w:val="000000"/>
          <w:sz w:val="24"/>
          <w:szCs w:val="24"/>
          <w:highlight w:val="none"/>
        </w:rPr>
        <w:t>应程度高的，得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01356F86">
      <w:pPr>
        <w:numPr>
          <w:ilvl w:val="0"/>
          <w:numId w:val="0"/>
        </w:numPr>
        <w:spacing w:line="360" w:lineRule="auto"/>
        <w:ind w:left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 xml:space="preserve">所投产品质量较好、档次较高，产品兼容性较强，整体性能良好，技术方案比较合理成熟、内容较齐全，可扩展、可控性较好，对招标文件的响应程度较高的，得3分； </w:t>
      </w:r>
    </w:p>
    <w:p w14:paraId="1BABF240">
      <w:pPr>
        <w:numPr>
          <w:ilvl w:val="0"/>
          <w:numId w:val="0"/>
        </w:numPr>
        <w:spacing w:line="360" w:lineRule="auto"/>
        <w:ind w:leftChars="200"/>
        <w:rPr>
          <w:rFonts w:hint="eastAsia" w:ascii="宋体" w:hAnsi="宋体" w:eastAsia="宋体"/>
          <w:color w:val="000000"/>
          <w:sz w:val="24"/>
          <w:szCs w:val="24"/>
          <w:lang w:val="en-US" w:eastAsia="zh-CN"/>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所投产品质量档次一般，产品兼容性一般，整体性能一般，技术方案内容一般，可扩展、可控性一般，对招标文件的响应程度一般的，得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 xml:space="preserve">分。 </w:t>
      </w:r>
      <w:r>
        <w:rPr>
          <w:rFonts w:hint="eastAsia" w:ascii="宋体" w:hAnsi="宋体"/>
          <w:color w:val="000000"/>
          <w:sz w:val="24"/>
          <w:szCs w:val="24"/>
        </w:rPr>
        <w:t>不提供不得分</w:t>
      </w:r>
      <w:r>
        <w:rPr>
          <w:rFonts w:hint="eastAsia" w:ascii="宋体" w:hAnsi="宋体" w:eastAsia="宋体"/>
          <w:color w:val="000000"/>
          <w:sz w:val="24"/>
          <w:szCs w:val="24"/>
          <w:lang w:val="en-US" w:eastAsia="zh-CN"/>
        </w:rPr>
        <w:t>.</w:t>
      </w:r>
    </w:p>
    <w:p w14:paraId="46DC5E2B">
      <w:pPr>
        <w:spacing w:line="360" w:lineRule="auto"/>
        <w:rPr>
          <w:rFonts w:ascii="宋体" w:hAnsi="宋体"/>
          <w:b/>
          <w:bCs/>
          <w:color w:val="000000"/>
          <w:sz w:val="24"/>
          <w:szCs w:val="24"/>
        </w:rPr>
      </w:pPr>
      <w:r>
        <w:rPr>
          <w:rFonts w:hint="eastAsia" w:ascii="宋体" w:hAnsi="宋体"/>
          <w:b/>
          <w:bCs/>
          <w:color w:val="000000"/>
          <w:sz w:val="24"/>
          <w:szCs w:val="24"/>
        </w:rPr>
        <w:t>3</w:t>
      </w:r>
      <w:r>
        <w:rPr>
          <w:rFonts w:hint="eastAsia" w:ascii="宋体" w:hAnsi="宋体" w:eastAsia="宋体"/>
          <w:b/>
          <w:bCs/>
          <w:color w:val="000000"/>
          <w:sz w:val="24"/>
          <w:szCs w:val="24"/>
          <w:lang w:eastAsia="zh-CN"/>
        </w:rPr>
        <w:t>、</w:t>
      </w:r>
      <w:r>
        <w:rPr>
          <w:rFonts w:hint="eastAsia" w:ascii="宋体" w:hAnsi="宋体"/>
          <w:b/>
          <w:bCs/>
          <w:color w:val="000000"/>
          <w:sz w:val="24"/>
          <w:szCs w:val="24"/>
        </w:rPr>
        <w:t>商务部分。（35分）</w:t>
      </w:r>
    </w:p>
    <w:p w14:paraId="12C343D5">
      <w:pPr>
        <w:spacing w:line="360" w:lineRule="auto"/>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提供2</w:t>
      </w:r>
      <w:r>
        <w:rPr>
          <w:rFonts w:ascii="宋体" w:hAnsi="宋体"/>
          <w:color w:val="000000"/>
          <w:sz w:val="24"/>
          <w:szCs w:val="24"/>
        </w:rPr>
        <w:t>021</w:t>
      </w:r>
      <w:r>
        <w:rPr>
          <w:rFonts w:hint="eastAsia" w:ascii="宋体" w:hAnsi="宋体"/>
          <w:color w:val="000000"/>
          <w:sz w:val="24"/>
          <w:szCs w:val="24"/>
        </w:rPr>
        <w:t>年以来，所投项目设备类似业绩（合同和发票同时提供）每提供1份，得1分，最多得</w:t>
      </w:r>
      <w:r>
        <w:rPr>
          <w:rFonts w:hint="eastAsia" w:ascii="宋体" w:hAnsi="宋体" w:eastAsia="宋体"/>
          <w:color w:val="000000"/>
          <w:sz w:val="24"/>
          <w:szCs w:val="24"/>
          <w:lang w:val="en-US" w:eastAsia="zh-CN"/>
        </w:rPr>
        <w:t>3</w:t>
      </w:r>
      <w:r>
        <w:rPr>
          <w:rFonts w:hint="eastAsia" w:ascii="宋体" w:hAnsi="宋体"/>
          <w:color w:val="000000"/>
          <w:sz w:val="24"/>
          <w:szCs w:val="24"/>
        </w:rPr>
        <w:t>分。</w:t>
      </w:r>
    </w:p>
    <w:p w14:paraId="5277026D">
      <w:pPr>
        <w:spacing w:line="360" w:lineRule="auto"/>
        <w:rPr>
          <w:rFonts w:hint="eastAsia" w:ascii="宋体" w:hAnsi="宋体"/>
          <w:color w:val="000000"/>
          <w:sz w:val="24"/>
          <w:szCs w:val="24"/>
          <w:highlight w:val="none"/>
        </w:rPr>
      </w:pPr>
      <w:r>
        <w:rPr>
          <w:rFonts w:hint="eastAsia" w:ascii="宋体" w:hAnsi="宋体"/>
          <w:b/>
          <w:bCs/>
          <w:color w:val="000000"/>
          <w:sz w:val="24"/>
          <w:szCs w:val="24"/>
          <w:highlight w:val="none"/>
        </w:rPr>
        <w:t>（2）</w:t>
      </w:r>
      <w:r>
        <w:rPr>
          <w:rFonts w:hint="eastAsia" w:ascii="宋体" w:hAnsi="宋体"/>
          <w:color w:val="000000"/>
          <w:sz w:val="24"/>
          <w:szCs w:val="24"/>
          <w:highlight w:val="none"/>
        </w:rPr>
        <w:t>投标人通过质量管理体系认证、环境管理体系认证、职业健康管理体系认证，提供证书和查询截图三证齐全得2分，不提供和提供不全不得分。</w:t>
      </w:r>
    </w:p>
    <w:p w14:paraId="53F753E5">
      <w:pPr>
        <w:spacing w:line="360" w:lineRule="auto"/>
        <w:rPr>
          <w:rFonts w:hint="eastAsia" w:ascii="宋体" w:hAnsi="宋体"/>
          <w:color w:val="000000"/>
          <w:sz w:val="22"/>
          <w:szCs w:val="24"/>
        </w:rPr>
      </w:pPr>
      <w:r>
        <w:rPr>
          <w:rFonts w:hint="eastAsia" w:ascii="宋体" w:hAnsi="宋体"/>
          <w:color w:val="000000"/>
          <w:sz w:val="24"/>
          <w:szCs w:val="24"/>
        </w:rPr>
        <w:t>（3）为保障售后服务，所投智能黑板制造商或投标人具备五星级以上售后服务认证证书得1分，不提供不得分。</w:t>
      </w:r>
    </w:p>
    <w:p w14:paraId="4F626392">
      <w:pPr>
        <w:spacing w:line="360" w:lineRule="auto"/>
        <w:rPr>
          <w:rFonts w:hint="eastAsia" w:ascii="宋体" w:hAnsi="宋体"/>
          <w:b/>
          <w:bCs/>
          <w:color w:val="000000"/>
          <w:sz w:val="24"/>
          <w:szCs w:val="24"/>
        </w:rPr>
      </w:pPr>
      <w:r>
        <w:rPr>
          <w:rFonts w:hint="eastAsia" w:ascii="宋体" w:hAnsi="宋体"/>
          <w:b/>
          <w:bCs/>
          <w:color w:val="000000"/>
          <w:sz w:val="24"/>
          <w:szCs w:val="24"/>
        </w:rPr>
        <w:t>（4）服务承诺（3分）</w:t>
      </w:r>
    </w:p>
    <w:p w14:paraId="57EDC16B">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投标人根据本项目特点对服务进行承诺：</w:t>
      </w:r>
    </w:p>
    <w:p w14:paraId="4B252CDA">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投标人承诺合理，全面，清晰的得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分；</w:t>
      </w:r>
    </w:p>
    <w:p w14:paraId="7DFA7817">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投标人承诺较为合理，全面，清晰的得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351FD488">
      <w:pPr>
        <w:numPr>
          <w:ilvl w:val="0"/>
          <w:numId w:val="0"/>
        </w:numPr>
        <w:spacing w:line="360" w:lineRule="auto"/>
        <w:ind w:firstLine="240" w:firstLineChars="100"/>
        <w:rPr>
          <w:rFonts w:hint="eastAsia" w:ascii="宋体" w:hAnsi="宋体" w:eastAsia="宋体"/>
          <w:color w:val="000000"/>
          <w:sz w:val="24"/>
          <w:szCs w:val="24"/>
          <w:lang w:eastAsia="zh-CN"/>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153DEA28">
      <w:pPr>
        <w:spacing w:line="360" w:lineRule="auto"/>
        <w:rPr>
          <w:rFonts w:hint="eastAsia" w:ascii="宋体" w:hAnsi="宋体"/>
          <w:color w:val="000000"/>
          <w:sz w:val="24"/>
          <w:szCs w:val="24"/>
        </w:rPr>
      </w:pPr>
      <w:r>
        <w:rPr>
          <w:rFonts w:hint="eastAsia" w:ascii="宋体" w:hAnsi="宋体"/>
          <w:b/>
          <w:bCs/>
          <w:color w:val="000000"/>
          <w:sz w:val="24"/>
          <w:szCs w:val="24"/>
        </w:rPr>
        <w:t>（5）售后服务要求（6分</w:t>
      </w:r>
      <w:r>
        <w:rPr>
          <w:rFonts w:hint="eastAsia" w:ascii="宋体" w:hAnsi="宋体"/>
          <w:color w:val="000000"/>
          <w:sz w:val="24"/>
          <w:szCs w:val="24"/>
        </w:rPr>
        <w:t>）</w:t>
      </w:r>
    </w:p>
    <w:p w14:paraId="36283DD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rPr>
        <w:t>提供针对本项目详尽可行的售后服务方案，方案具体包括售后服务内容、</w:t>
      </w:r>
      <w:r>
        <w:rPr>
          <w:rFonts w:hint="eastAsia" w:ascii="宋体" w:hAnsi="宋体"/>
          <w:color w:val="000000"/>
          <w:sz w:val="24"/>
          <w:szCs w:val="24"/>
          <w:highlight w:val="none"/>
        </w:rPr>
        <w:t>服务流程、服务团队、响应时间、保障措施等：</w:t>
      </w:r>
    </w:p>
    <w:p w14:paraId="2E21082C">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内容科学、完整、详细、全面的得</w:t>
      </w:r>
      <w:r>
        <w:rPr>
          <w:rFonts w:hint="eastAsia" w:ascii="宋体" w:hAnsi="宋体" w:eastAsia="宋体"/>
          <w:color w:val="000000"/>
          <w:sz w:val="24"/>
          <w:szCs w:val="24"/>
          <w:highlight w:val="none"/>
          <w:lang w:val="en-US" w:eastAsia="zh-CN"/>
        </w:rPr>
        <w:t>6</w:t>
      </w:r>
      <w:r>
        <w:rPr>
          <w:rFonts w:hint="eastAsia" w:ascii="宋体" w:hAnsi="宋体"/>
          <w:color w:val="000000"/>
          <w:sz w:val="24"/>
          <w:szCs w:val="24"/>
          <w:highlight w:val="none"/>
        </w:rPr>
        <w:t>分；</w:t>
      </w:r>
    </w:p>
    <w:p w14:paraId="52723149">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方案内容比较科学完整、详细、全面的得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0EAEB643">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方案内容完整、详细、但不够全面的得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23838665">
      <w:pPr>
        <w:numPr>
          <w:ilvl w:val="0"/>
          <w:numId w:val="0"/>
        </w:numPr>
        <w:spacing w:line="360" w:lineRule="auto"/>
        <w:ind w:firstLine="240" w:firstLineChars="100"/>
        <w:rPr>
          <w:rFonts w:hint="eastAsia" w:ascii="宋体" w:hAnsi="宋体" w:eastAsia="宋体"/>
          <w:color w:val="000000"/>
          <w:sz w:val="24"/>
          <w:szCs w:val="24"/>
          <w:lang w:eastAsia="zh-CN"/>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3723E102">
      <w:pPr>
        <w:spacing w:line="360" w:lineRule="auto"/>
        <w:rPr>
          <w:rFonts w:hint="eastAsia" w:ascii="宋体" w:hAnsi="宋体"/>
          <w:b/>
          <w:bCs/>
          <w:color w:val="000000"/>
          <w:sz w:val="24"/>
          <w:szCs w:val="24"/>
        </w:rPr>
      </w:pPr>
      <w:r>
        <w:rPr>
          <w:rFonts w:hint="eastAsia" w:ascii="宋体" w:hAnsi="宋体"/>
          <w:b/>
          <w:bCs/>
          <w:color w:val="000000"/>
          <w:sz w:val="24"/>
          <w:szCs w:val="24"/>
        </w:rPr>
        <w:t>（6）培训服务要求（6分）</w:t>
      </w:r>
      <w:r>
        <w:rPr>
          <w:rFonts w:hint="eastAsia" w:ascii="宋体" w:hAnsi="宋体"/>
          <w:b/>
          <w:bCs/>
          <w:color w:val="000000"/>
          <w:sz w:val="24"/>
          <w:szCs w:val="24"/>
        </w:rPr>
        <w:tab/>
      </w:r>
    </w:p>
    <w:p w14:paraId="5CEA4E88">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rPr>
        <w:t>投标人提供详细完整的培训服务方案，包括但不限于培训计划、培训内容、</w:t>
      </w:r>
      <w:r>
        <w:rPr>
          <w:rFonts w:hint="eastAsia" w:ascii="宋体" w:hAnsi="宋体"/>
          <w:color w:val="000000"/>
          <w:sz w:val="24"/>
          <w:szCs w:val="24"/>
          <w:highlight w:val="none"/>
        </w:rPr>
        <w:t>培训方式、培训团队、培训保证措施等内容进行评价：</w:t>
      </w:r>
    </w:p>
    <w:p w14:paraId="267168EA">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方案内容科学、完整、详细、全面的得</w:t>
      </w:r>
      <w:r>
        <w:rPr>
          <w:rFonts w:hint="eastAsia" w:ascii="宋体" w:hAnsi="宋体" w:eastAsia="宋体"/>
          <w:color w:val="000000"/>
          <w:sz w:val="24"/>
          <w:szCs w:val="24"/>
          <w:highlight w:val="none"/>
          <w:lang w:val="en-US" w:eastAsia="zh-CN"/>
        </w:rPr>
        <w:t>6</w:t>
      </w:r>
      <w:r>
        <w:rPr>
          <w:rFonts w:hint="eastAsia" w:ascii="宋体" w:hAnsi="宋体"/>
          <w:color w:val="000000"/>
          <w:sz w:val="24"/>
          <w:szCs w:val="24"/>
          <w:highlight w:val="none"/>
        </w:rPr>
        <w:t>分；</w:t>
      </w:r>
    </w:p>
    <w:p w14:paraId="07140A54">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方案内容比较科学完整、详细、全面的得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154574C4">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方案内容完整、详细、但不够全面的得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7981FE85">
      <w:pPr>
        <w:numPr>
          <w:ilvl w:val="0"/>
          <w:numId w:val="0"/>
        </w:numPr>
        <w:spacing w:line="360" w:lineRule="auto"/>
        <w:ind w:firstLine="240" w:firstLineChars="100"/>
        <w:rPr>
          <w:rFonts w:hint="eastAsia" w:ascii="宋体" w:hAnsi="宋体"/>
          <w:color w:val="000000"/>
          <w:sz w:val="24"/>
          <w:szCs w:val="24"/>
          <w:highlight w:val="yellow"/>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4CA6BE1F">
      <w:pPr>
        <w:spacing w:line="360" w:lineRule="auto"/>
        <w:rPr>
          <w:rFonts w:hint="eastAsia" w:ascii="宋体" w:hAnsi="宋体"/>
          <w:color w:val="000000"/>
          <w:sz w:val="24"/>
          <w:szCs w:val="24"/>
        </w:rPr>
      </w:pPr>
      <w:r>
        <w:rPr>
          <w:rFonts w:hint="eastAsia" w:ascii="宋体" w:hAnsi="宋体"/>
          <w:b/>
          <w:bCs/>
          <w:color w:val="000000"/>
          <w:sz w:val="24"/>
          <w:szCs w:val="24"/>
        </w:rPr>
        <w:t>（7）供货方案及措施（5分</w:t>
      </w:r>
      <w:r>
        <w:rPr>
          <w:rFonts w:hint="eastAsia" w:ascii="宋体" w:hAnsi="宋体"/>
          <w:color w:val="000000"/>
          <w:sz w:val="24"/>
          <w:szCs w:val="24"/>
        </w:rPr>
        <w:t>）</w:t>
      </w:r>
      <w:r>
        <w:rPr>
          <w:rFonts w:hint="eastAsia" w:ascii="宋体" w:hAnsi="宋体"/>
          <w:color w:val="000000"/>
          <w:sz w:val="24"/>
          <w:szCs w:val="24"/>
        </w:rPr>
        <w:tab/>
      </w:r>
    </w:p>
    <w:p w14:paraId="52D3D347">
      <w:pPr>
        <w:spacing w:line="360" w:lineRule="auto"/>
        <w:ind w:firstLine="465"/>
        <w:rPr>
          <w:rFonts w:hint="eastAsia" w:ascii="宋体" w:hAnsi="宋体"/>
          <w:color w:val="000000"/>
          <w:sz w:val="24"/>
          <w:szCs w:val="24"/>
        </w:rPr>
      </w:pPr>
      <w:r>
        <w:rPr>
          <w:rFonts w:hint="eastAsia" w:ascii="宋体" w:hAnsi="宋体"/>
          <w:color w:val="000000"/>
          <w:sz w:val="24"/>
          <w:szCs w:val="24"/>
        </w:rPr>
        <w:t>针对项目实际情况，投标人制定详细的供货方案及保证措施：</w:t>
      </w:r>
    </w:p>
    <w:p w14:paraId="4C1F8767">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供货时间计划安排科学合理，措施切实可行，方案对项目实施的准备工作、材料和质量保障措施等内容做出详细、合理的阐述的，得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6FBEEBA3">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供货时间计划基本符合本项目需求，方案对项目实施的准备工作、材料和质量保障措施等内容做出基本描述的，得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 xml:space="preserve">分； </w:t>
      </w:r>
    </w:p>
    <w:p w14:paraId="60CA9E7C">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供货时间计划有瑕疵，方案对项目实施的准备工作、材料和质量保障措施等内容描述缺乏合理性，保证措施有瑕疵，缺乏针对性，执行性差，需进一步完善的，得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p>
    <w:p w14:paraId="43C81F8D">
      <w:pPr>
        <w:numPr>
          <w:ilvl w:val="0"/>
          <w:numId w:val="0"/>
        </w:num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不提供不得分</w:t>
      </w:r>
      <w:r>
        <w:rPr>
          <w:rFonts w:hint="eastAsia" w:ascii="宋体" w:hAnsi="宋体" w:eastAsia="宋体"/>
          <w:color w:val="000000"/>
          <w:sz w:val="24"/>
          <w:szCs w:val="24"/>
          <w:highlight w:val="none"/>
          <w:lang w:eastAsia="zh-CN"/>
        </w:rPr>
        <w:t>。</w:t>
      </w:r>
    </w:p>
    <w:p w14:paraId="20F0F14D">
      <w:pPr>
        <w:spacing w:line="360" w:lineRule="auto"/>
        <w:rPr>
          <w:rFonts w:hint="eastAsia" w:ascii="宋体" w:hAnsi="宋体"/>
          <w:b/>
          <w:bCs/>
          <w:color w:val="000000"/>
          <w:sz w:val="24"/>
          <w:szCs w:val="24"/>
          <w:highlight w:val="none"/>
        </w:rPr>
      </w:pPr>
      <w:r>
        <w:rPr>
          <w:rFonts w:hint="eastAsia" w:ascii="宋体" w:hAnsi="宋体"/>
          <w:b/>
          <w:bCs/>
          <w:color w:val="000000"/>
          <w:sz w:val="24"/>
          <w:szCs w:val="24"/>
          <w:highlight w:val="none"/>
        </w:rPr>
        <w:t>（8）安装调试方案（5分）</w:t>
      </w:r>
      <w:r>
        <w:rPr>
          <w:rFonts w:hint="eastAsia" w:ascii="宋体" w:hAnsi="宋体"/>
          <w:b/>
          <w:bCs/>
          <w:color w:val="000000"/>
          <w:sz w:val="24"/>
          <w:szCs w:val="24"/>
          <w:highlight w:val="none"/>
        </w:rPr>
        <w:tab/>
      </w:r>
    </w:p>
    <w:p w14:paraId="44F64D3D">
      <w:pPr>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针对项目实际情况，投标人制定详细的安装调试方案：</w:t>
      </w:r>
    </w:p>
    <w:p w14:paraId="7EA04FD2">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方案全面、详尽、合理、措施有保障，技术质量有保障、完全满足项目需求的得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1F3DAE45">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方案基本满足项目需求的，得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分；</w:t>
      </w:r>
    </w:p>
    <w:p w14:paraId="58E0EC76">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方案较差，需进一步完善的，得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p>
    <w:p w14:paraId="75D2BCC0">
      <w:pPr>
        <w:numPr>
          <w:ilvl w:val="0"/>
          <w:numId w:val="0"/>
        </w:numPr>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2073C119">
      <w:pPr>
        <w:spacing w:line="360" w:lineRule="auto"/>
        <w:rPr>
          <w:rFonts w:hint="eastAsia" w:ascii="宋体" w:hAnsi="宋体"/>
          <w:b/>
          <w:bCs/>
          <w:color w:val="000000"/>
          <w:sz w:val="24"/>
          <w:szCs w:val="24"/>
        </w:rPr>
      </w:pPr>
      <w:r>
        <w:rPr>
          <w:rFonts w:hint="eastAsia" w:ascii="宋体" w:hAnsi="宋体"/>
          <w:b/>
          <w:bCs/>
          <w:color w:val="000000"/>
          <w:sz w:val="24"/>
          <w:szCs w:val="24"/>
        </w:rPr>
        <w:t>（9）验收方案（4分）</w:t>
      </w:r>
    </w:p>
    <w:p w14:paraId="4EABF6FA">
      <w:pPr>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根据投标人针对本项目制定的验收实施方案（包括验收计划、验收方法、</w:t>
      </w:r>
    </w:p>
    <w:p w14:paraId="5F4142ED">
      <w:p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验收配合、验收不合格后的应对措施等）进行综合评审：方案详细、具体、可行，可操作性较强，得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6EC1D42C">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验收方案基本满足项目需求的，得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0B64E71A">
      <w:pPr>
        <w:numPr>
          <w:ilvl w:val="0"/>
          <w:numId w:val="0"/>
        </w:numPr>
        <w:spacing w:line="360" w:lineRule="auto"/>
        <w:ind w:firstLine="240" w:firstLineChars="100"/>
        <w:rPr>
          <w:rFonts w:hint="eastAsia" w:ascii="宋体" w:hAnsi="宋体" w:eastAsia="宋体"/>
          <w:color w:val="000000"/>
          <w:sz w:val="24"/>
          <w:szCs w:val="24"/>
          <w:highlight w:val="none"/>
          <w:lang w:val="en-US" w:eastAsia="zh-CN"/>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方案较差，需进一步完善的，得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r>
        <w:rPr>
          <w:rFonts w:hint="eastAsia" w:ascii="宋体" w:hAnsi="宋体" w:eastAsia="宋体"/>
          <w:color w:val="000000"/>
          <w:sz w:val="24"/>
          <w:szCs w:val="24"/>
          <w:highlight w:val="none"/>
          <w:lang w:val="en-US" w:eastAsia="zh-CN"/>
        </w:rPr>
        <w:t xml:space="preserve"> </w:t>
      </w:r>
      <w:r>
        <w:rPr>
          <w:rFonts w:hint="eastAsia" w:ascii="宋体" w:hAnsi="宋体"/>
          <w:color w:val="000000"/>
          <w:sz w:val="24"/>
          <w:szCs w:val="24"/>
          <w:highlight w:val="none"/>
        </w:rPr>
        <w:t>不提供不得分</w:t>
      </w:r>
      <w:r>
        <w:rPr>
          <w:rFonts w:hint="eastAsia" w:ascii="宋体" w:hAnsi="宋体" w:eastAsia="宋体"/>
          <w:color w:val="000000"/>
          <w:sz w:val="24"/>
          <w:szCs w:val="24"/>
          <w:highlight w:val="none"/>
          <w:lang w:eastAsia="zh-CN"/>
        </w:rPr>
        <w:t>。</w:t>
      </w:r>
    </w:p>
    <w:p w14:paraId="15390CB6">
      <w:pPr>
        <w:pStyle w:val="6"/>
        <w:rPr>
          <w:rFonts w:hint="eastAsia" w:ascii="宋体" w:hAnsi="宋体" w:eastAsia="宋体" w:cs="宋体"/>
          <w:b/>
          <w:bCs/>
          <w:snapToGrid w:val="0"/>
          <w:color w:val="000000"/>
          <w:kern w:val="2"/>
          <w:sz w:val="24"/>
          <w:szCs w:val="24"/>
          <w:lang w:val="en-US" w:eastAsia="zh-CN" w:bidi="ar-SA"/>
        </w:rPr>
      </w:pPr>
    </w:p>
    <w:p w14:paraId="5F8CF5F6">
      <w:pPr>
        <w:pStyle w:val="6"/>
        <w:rPr>
          <w:rFonts w:hint="eastAsia" w:ascii="宋体" w:hAnsi="宋体" w:eastAsia="宋体" w:cs="宋体"/>
          <w:b/>
          <w:bCs/>
          <w:snapToGrid w:val="0"/>
          <w:color w:val="000000"/>
          <w:kern w:val="2"/>
          <w:sz w:val="24"/>
          <w:szCs w:val="24"/>
          <w:lang w:val="en-US" w:eastAsia="zh-CN" w:bidi="ar-SA"/>
        </w:rPr>
      </w:pPr>
    </w:p>
    <w:p w14:paraId="43E28AF0">
      <w:pPr>
        <w:pStyle w:val="6"/>
        <w:rPr>
          <w:rFonts w:hint="eastAsia" w:ascii="宋体" w:hAnsi="宋体" w:eastAsia="宋体" w:cs="宋体"/>
          <w:b/>
          <w:bCs/>
          <w:snapToGrid w:val="0"/>
          <w:color w:val="000000"/>
          <w:kern w:val="2"/>
          <w:sz w:val="24"/>
          <w:szCs w:val="24"/>
          <w:lang w:val="en-US" w:eastAsia="zh-CN" w:bidi="ar-SA"/>
        </w:rPr>
      </w:pPr>
    </w:p>
    <w:p w14:paraId="5792007D">
      <w:pPr>
        <w:pStyle w:val="6"/>
        <w:rPr>
          <w:rFonts w:hint="eastAsia" w:ascii="宋体" w:hAnsi="宋体" w:eastAsia="宋体" w:cs="宋体"/>
          <w:b/>
          <w:bCs/>
          <w:snapToGrid w:val="0"/>
          <w:color w:val="000000"/>
          <w:kern w:val="2"/>
          <w:sz w:val="24"/>
          <w:szCs w:val="24"/>
          <w:lang w:val="en-US" w:eastAsia="zh-CN" w:bidi="ar-SA"/>
        </w:rPr>
      </w:pPr>
    </w:p>
    <w:p w14:paraId="0315C5FB">
      <w:pPr>
        <w:pStyle w:val="6"/>
        <w:rPr>
          <w:rFonts w:hint="eastAsia" w:ascii="宋体" w:hAnsi="宋体" w:eastAsia="宋体" w:cs="宋体"/>
          <w:b/>
          <w:bCs/>
          <w:snapToGrid w:val="0"/>
          <w:color w:val="000000"/>
          <w:kern w:val="2"/>
          <w:sz w:val="24"/>
          <w:szCs w:val="24"/>
          <w:lang w:val="en-US" w:eastAsia="zh-CN" w:bidi="ar-SA"/>
        </w:rPr>
      </w:pPr>
    </w:p>
    <w:p w14:paraId="7DE5C1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7EA22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1590135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79C4799">
      <w:pPr>
        <w:pStyle w:val="30"/>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30"/>
        <w:jc w:val="both"/>
        <w:rPr>
          <w:rFonts w:hint="eastAsia"/>
        </w:rPr>
      </w:pPr>
    </w:p>
    <w:p w14:paraId="197CAC5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08E118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22478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2E72DA8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BC3D1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16F053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2D6D6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6489EF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4507487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5407C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282336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1EA3377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7F1204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4E5800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372C645">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74D99640">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2BC76D9E">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30D82F8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52FE58CD">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2AED84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4C14C98">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07720DD">
      <w:pPr>
        <w:keepNext w:val="0"/>
        <w:keepLines w:val="0"/>
        <w:pageBreakBefore w:val="0"/>
        <w:kinsoku/>
        <w:wordWrap w:val="0"/>
        <w:overflowPunct/>
        <w:topLinePunct w:val="0"/>
        <w:bidi w:val="0"/>
        <w:jc w:val="both"/>
        <w:rPr>
          <w:rFonts w:hint="eastAsia" w:ascii="宋体" w:hAnsi="宋体"/>
          <w:b/>
          <w:sz w:val="24"/>
          <w:szCs w:val="24"/>
        </w:rPr>
      </w:pPr>
    </w:p>
    <w:p w14:paraId="50B71DD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CFF20F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00D1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67BF4A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06E0B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17EE7A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EAF1A3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473FCA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45C87A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2DBD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6D07A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FB39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07C5D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52E5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A2BB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2B873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18B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00D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1C9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B72E0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8FB0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58152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5DA2D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F367E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D5864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E4DC8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2EB87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5E811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4096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FA8B0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9D0C1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DAB219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9EC4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18CD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FDCCA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DFF02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30605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86859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8194E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1AA32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60AE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9781C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2858E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2F475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0C22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5C4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6C9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BFBF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2445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37E7D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8B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06152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541F3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C2563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E1BDA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F8DB7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BE93D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ACBAB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72B0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0AF9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FAAF8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F3086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E7BDF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027D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7E855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1A7E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87016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2FB5FF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1D5A1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ACDCD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91C02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C77D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72DD26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F8481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A8017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5F578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0785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0C573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03D870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E964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B30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23655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E986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EA3A8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94E07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0EF87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B2220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F9936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30089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D0B4E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1B692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48C1A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31296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8A67B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B7C2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D253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EEA45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95A7B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48880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3451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1FC75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8CE3C1E">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717AB3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2573A6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AE97E1B">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F38880">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4AF0851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7B7243A7">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63F025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661880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w:t>
      </w:r>
      <w:r>
        <w:rPr>
          <w:rFonts w:hint="eastAsia" w:asciiTheme="minorEastAsia" w:hAnsiTheme="minorEastAsia" w:eastAsiaTheme="minorEastAsia" w:cstheme="minorEastAsia"/>
          <w:b/>
          <w:bCs w:val="0"/>
          <w:sz w:val="24"/>
          <w:szCs w:val="24"/>
          <w:lang w:val="en-US" w:eastAsia="zh-CN"/>
        </w:rPr>
        <w:t>实施</w:t>
      </w:r>
      <w:r>
        <w:rPr>
          <w:rFonts w:hint="eastAsia" w:asciiTheme="minorEastAsia" w:hAnsiTheme="minorEastAsia" w:eastAsiaTheme="minorEastAsia" w:cstheme="minorEastAsia"/>
          <w:b/>
          <w:bCs w:val="0"/>
          <w:sz w:val="24"/>
          <w:szCs w:val="24"/>
          <w:lang w:eastAsia="zh-CN"/>
        </w:rPr>
        <w:t>方案等</w:t>
      </w:r>
    </w:p>
    <w:p w14:paraId="7F59DD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12B8F0B0">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05E8474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0E74D6A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07BA1F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047DC75">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984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FB6B5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EC4B79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D8F9C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C4890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0A875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29916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68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78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2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C9D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213E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14E7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99F9C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43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279E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FEF3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54AE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374B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4148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21DA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6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47505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A55D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1E2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0E76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EE24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55AA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B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1FB69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9FB0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E7270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6267F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354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7BDAC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92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3A98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3AFF3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DDE3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134E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2F93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4E9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3EE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F98A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0FA2C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5ED9D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1A9A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695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D7FF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94B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7CCE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4F85B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23B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C1E1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624F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9223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87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F917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630D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3FA9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EC1D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D121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210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5F3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07BC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AD090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D198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54139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3169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88D2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F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40E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937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31456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6CC8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775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5C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6FC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8BA18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901F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951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85A0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4400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429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8F3F2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A1FA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25D1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4118F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3A78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BBFC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41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9EF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55EFB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2EC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1236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F0D9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7F77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39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A985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62E8A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535C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C903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4145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3C4B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6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CF95B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6D938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D287A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F8AD4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5B7C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7727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7BC918F4">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709D4A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EBD93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01EE20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FB66C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r>
        <w:rPr>
          <w:rFonts w:hint="eastAsia" w:asciiTheme="minorEastAsia" w:hAnsiTheme="minorEastAsia" w:eastAsiaTheme="minorEastAsia" w:cstheme="minorEastAsia"/>
          <w:b/>
          <w:sz w:val="24"/>
          <w:szCs w:val="24"/>
          <w:lang w:val="en-US" w:eastAsia="zh-CN"/>
        </w:rPr>
        <w:t>培训方案</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6AC6E15C">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94844B0">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CE1997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14:paraId="2F195A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779375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17D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402C36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D3267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95BE7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09D98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5446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B82DE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91E2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305023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18EA63D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53DBD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F7336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BF0C7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2A2C85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DBA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20C84F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1176F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67BCA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10C22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4BB88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E21164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267AE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DCAC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39D45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170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1E99F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1BD92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11F10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15036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BAEA7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52E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E11BB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D649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1F33B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84C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31B56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5D763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08351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2D0DE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91C8B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E402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565E8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FAED7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C4C9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F56E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4FC60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390A6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1E31C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A62315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0A4E7B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6127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46D54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BDF47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4C91C0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A8BF9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440F46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0B6BF6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55E7F1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318CA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2F6E3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AB337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199D2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03C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3A354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6337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883E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DDD3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A18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CB2C5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32C3DB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7DC0B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8B67D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F1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6C642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698E0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CD9AE2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F801F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B4946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A177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98527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1384A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7DB9F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02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889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F1CDA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B0FD6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4B52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FFAF7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DD240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D5632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15A2C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AC2CAD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50E8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601712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2C772F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E14D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E283DB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44CB51F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196707E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21237ED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E397B7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32E8FB3A">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9C40E3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9076A5B">
      <w:pPr>
        <w:pStyle w:val="6"/>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54653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7837E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3D431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7763B9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C796C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3E4E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BADB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CEDA0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A25C4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4B589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27F0CDFE">
      <w:pPr>
        <w:pStyle w:val="30"/>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72732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6EF37"/>
    <w:multiLevelType w:val="singleLevel"/>
    <w:tmpl w:val="8176EF37"/>
    <w:lvl w:ilvl="0" w:tentative="0">
      <w:start w:val="1"/>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abstractNum w:abstractNumId="2">
    <w:nsid w:val="7BC6BD55"/>
    <w:multiLevelType w:val="singleLevel"/>
    <w:tmpl w:val="7BC6BD5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8F24EA3"/>
    <w:rsid w:val="091F6FCA"/>
    <w:rsid w:val="092D385C"/>
    <w:rsid w:val="09684744"/>
    <w:rsid w:val="09A129E2"/>
    <w:rsid w:val="09CC6764"/>
    <w:rsid w:val="09E3271C"/>
    <w:rsid w:val="09FB21F2"/>
    <w:rsid w:val="0A29644D"/>
    <w:rsid w:val="0A437032"/>
    <w:rsid w:val="0A486323"/>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2C58BA"/>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719A8"/>
    <w:rsid w:val="164A7458"/>
    <w:rsid w:val="167331AE"/>
    <w:rsid w:val="16F45CE8"/>
    <w:rsid w:val="16FC049F"/>
    <w:rsid w:val="174C193E"/>
    <w:rsid w:val="179B0D80"/>
    <w:rsid w:val="17B27393"/>
    <w:rsid w:val="17E20058"/>
    <w:rsid w:val="183D23CB"/>
    <w:rsid w:val="18510AEB"/>
    <w:rsid w:val="18610CDC"/>
    <w:rsid w:val="18D56FD4"/>
    <w:rsid w:val="19161B44"/>
    <w:rsid w:val="19D46BD3"/>
    <w:rsid w:val="19E260C0"/>
    <w:rsid w:val="1A0933D9"/>
    <w:rsid w:val="1A464AA0"/>
    <w:rsid w:val="1A6B22E0"/>
    <w:rsid w:val="1A994811"/>
    <w:rsid w:val="1AAC0209"/>
    <w:rsid w:val="1AC47924"/>
    <w:rsid w:val="1AF57E02"/>
    <w:rsid w:val="1B4F168F"/>
    <w:rsid w:val="1B6F0841"/>
    <w:rsid w:val="1CC7132A"/>
    <w:rsid w:val="1D391455"/>
    <w:rsid w:val="1D72498F"/>
    <w:rsid w:val="1D9D7C75"/>
    <w:rsid w:val="1E0754FF"/>
    <w:rsid w:val="1E2712E1"/>
    <w:rsid w:val="1E7249AF"/>
    <w:rsid w:val="1EFB350D"/>
    <w:rsid w:val="1F2D0CD5"/>
    <w:rsid w:val="1F8737CC"/>
    <w:rsid w:val="1FE61854"/>
    <w:rsid w:val="1FF31541"/>
    <w:rsid w:val="20F10837"/>
    <w:rsid w:val="210939CE"/>
    <w:rsid w:val="212D6A29"/>
    <w:rsid w:val="217E2260"/>
    <w:rsid w:val="21DC7625"/>
    <w:rsid w:val="21E33D7D"/>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1476A5"/>
    <w:rsid w:val="2944096C"/>
    <w:rsid w:val="29462E99"/>
    <w:rsid w:val="29C94933"/>
    <w:rsid w:val="29EF5E58"/>
    <w:rsid w:val="2A5E573D"/>
    <w:rsid w:val="2A870159"/>
    <w:rsid w:val="2ABA04F6"/>
    <w:rsid w:val="2AD7512C"/>
    <w:rsid w:val="2B296C36"/>
    <w:rsid w:val="2B32017A"/>
    <w:rsid w:val="2B4C1378"/>
    <w:rsid w:val="2BD35370"/>
    <w:rsid w:val="2C4C3D72"/>
    <w:rsid w:val="2CA1464D"/>
    <w:rsid w:val="2CB368C6"/>
    <w:rsid w:val="2CE542E8"/>
    <w:rsid w:val="2D4C797B"/>
    <w:rsid w:val="2D854259"/>
    <w:rsid w:val="2DC25921"/>
    <w:rsid w:val="2DD5743D"/>
    <w:rsid w:val="2DF6291A"/>
    <w:rsid w:val="2DFB1083"/>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4F92D27"/>
    <w:rsid w:val="357D65D2"/>
    <w:rsid w:val="359A096B"/>
    <w:rsid w:val="35D901A4"/>
    <w:rsid w:val="36266C69"/>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C37498E"/>
    <w:rsid w:val="3C860462"/>
    <w:rsid w:val="3C94450B"/>
    <w:rsid w:val="3CD83A9C"/>
    <w:rsid w:val="3D051AB3"/>
    <w:rsid w:val="3D13022E"/>
    <w:rsid w:val="3D9C0E9C"/>
    <w:rsid w:val="3DAE7C70"/>
    <w:rsid w:val="3DDE7B24"/>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D1A2A"/>
    <w:rsid w:val="407F405E"/>
    <w:rsid w:val="409370B0"/>
    <w:rsid w:val="40D41902"/>
    <w:rsid w:val="41884B35"/>
    <w:rsid w:val="42044303"/>
    <w:rsid w:val="42100EF9"/>
    <w:rsid w:val="42360234"/>
    <w:rsid w:val="423849B8"/>
    <w:rsid w:val="435F746A"/>
    <w:rsid w:val="4372309F"/>
    <w:rsid w:val="44093E52"/>
    <w:rsid w:val="444E5D13"/>
    <w:rsid w:val="446F3136"/>
    <w:rsid w:val="44790C24"/>
    <w:rsid w:val="453A628D"/>
    <w:rsid w:val="45CF0C25"/>
    <w:rsid w:val="45D92790"/>
    <w:rsid w:val="45DD7715"/>
    <w:rsid w:val="46300235"/>
    <w:rsid w:val="46794807"/>
    <w:rsid w:val="47503B46"/>
    <w:rsid w:val="4770652A"/>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453CD9"/>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5B21CF7"/>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164D3"/>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D3662"/>
    <w:rsid w:val="68222C97"/>
    <w:rsid w:val="68333F9A"/>
    <w:rsid w:val="683858D3"/>
    <w:rsid w:val="68645FE7"/>
    <w:rsid w:val="688651C2"/>
    <w:rsid w:val="69413090"/>
    <w:rsid w:val="69855FCD"/>
    <w:rsid w:val="69941325"/>
    <w:rsid w:val="69BC17E8"/>
    <w:rsid w:val="69DD77FF"/>
    <w:rsid w:val="6A517C50"/>
    <w:rsid w:val="6AE37CE3"/>
    <w:rsid w:val="6B0625EA"/>
    <w:rsid w:val="6B5442BA"/>
    <w:rsid w:val="6C593408"/>
    <w:rsid w:val="6C68544B"/>
    <w:rsid w:val="6C785167"/>
    <w:rsid w:val="6CF5719B"/>
    <w:rsid w:val="6D0715D4"/>
    <w:rsid w:val="6DDB2C74"/>
    <w:rsid w:val="6DE35014"/>
    <w:rsid w:val="6E0E0C0F"/>
    <w:rsid w:val="6E8E7670"/>
    <w:rsid w:val="6EEB0447"/>
    <w:rsid w:val="6F400426"/>
    <w:rsid w:val="6F846E05"/>
    <w:rsid w:val="6F8E65E9"/>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C974CD"/>
    <w:rsid w:val="7E4B00B1"/>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after="60"/>
      <w:jc w:val="center"/>
      <w:outlineLvl w:val="0"/>
    </w:pPr>
    <w:rPr>
      <w:rFonts w:ascii="Arial" w:hAnsi="Arial"/>
      <w:b/>
      <w:sz w:val="32"/>
    </w:rPr>
  </w:style>
  <w:style w:type="paragraph" w:styleId="18">
    <w:name w:val="Body Text First Indent"/>
    <w:basedOn w:val="6"/>
    <w:next w:val="1"/>
    <w:qFormat/>
    <w:uiPriority w:val="99"/>
    <w:pPr>
      <w:spacing w:after="120" w:afterLines="0"/>
      <w:ind w:firstLine="420" w:firstLineChars="100"/>
    </w:pPr>
    <w:rPr>
      <w:rFonts w:ascii="Times New Roman" w:eastAsia="宋体"/>
      <w:sz w:val="21"/>
    </w:rPr>
  </w:style>
  <w:style w:type="paragraph" w:styleId="19">
    <w:name w:val="Body Text First Indent 2"/>
    <w:basedOn w:val="8"/>
    <w:next w:val="1"/>
    <w:autoRedefine/>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Char Char10 Char Char Char Char"/>
    <w:basedOn w:val="1"/>
    <w:next w:val="26"/>
    <w:autoRedefine/>
    <w:qFormat/>
    <w:uiPriority w:val="99"/>
    <w:pPr>
      <w:autoSpaceDE w:val="0"/>
      <w:autoSpaceDN w:val="0"/>
      <w:jc w:val="left"/>
    </w:pPr>
    <w:rPr>
      <w:rFonts w:ascii="宋体" w:hAnsi="宋体" w:cs="宋体"/>
      <w:lang w:val="zh-CN" w:bidi="zh-CN"/>
    </w:rPr>
  </w:style>
  <w:style w:type="paragraph" w:customStyle="1" w:styleId="26">
    <w:name w:val="xl87"/>
    <w:basedOn w:val="1"/>
    <w:next w:val="2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7">
    <w:name w:val="xl72"/>
    <w:basedOn w:val="1"/>
    <w:next w:val="2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8">
    <w:name w:val="Date1"/>
    <w:basedOn w:val="1"/>
    <w:next w:val="1"/>
    <w:qFormat/>
    <w:uiPriority w:val="0"/>
    <w:rPr>
      <w:kern w:val="2"/>
      <w:lang w:eastAsia="zh-CN"/>
    </w:rPr>
  </w:style>
  <w:style w:type="paragraph" w:customStyle="1" w:styleId="2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Arial" w:hAnsi="Arial" w:eastAsia="Arial" w:cs="Arial"/>
      <w:sz w:val="21"/>
      <w:szCs w:val="21"/>
      <w:lang w:val="en-US" w:eastAsia="en-US" w:bidi="ar-SA"/>
    </w:rPr>
  </w:style>
  <w:style w:type="paragraph" w:customStyle="1" w:styleId="33">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4">
    <w:name w:val="hover18"/>
    <w:basedOn w:val="22"/>
    <w:autoRedefine/>
    <w:qFormat/>
    <w:uiPriority w:val="0"/>
  </w:style>
  <w:style w:type="paragraph" w:customStyle="1" w:styleId="35">
    <w:name w:val="列出段落1"/>
    <w:basedOn w:val="1"/>
    <w:autoRedefine/>
    <w:qFormat/>
    <w:uiPriority w:val="0"/>
    <w:pPr>
      <w:ind w:firstLine="420" w:firstLineChars="200"/>
    </w:pPr>
    <w:rPr>
      <w:szCs w:val="21"/>
    </w:rPr>
  </w:style>
  <w:style w:type="paragraph" w:styleId="36">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7">
    <w:name w:val="fontstyle01"/>
    <w:basedOn w:val="22"/>
    <w:qFormat/>
    <w:uiPriority w:val="0"/>
    <w:rPr>
      <w:rFonts w:hint="eastAsia" w:ascii="宋体" w:hAnsi="宋体" w:eastAsia="宋体" w:cs="宋体"/>
      <w:color w:val="000000"/>
      <w:sz w:val="24"/>
      <w:szCs w:val="24"/>
    </w:rPr>
  </w:style>
  <w:style w:type="character" w:customStyle="1" w:styleId="38">
    <w:name w:val="fontstyle21"/>
    <w:basedOn w:val="22"/>
    <w:qFormat/>
    <w:uiPriority w:val="0"/>
    <w:rPr>
      <w:rFonts w:hint="default" w:ascii="Times New Roman" w:hAnsi="Times New Roman" w:cs="Times New Roman"/>
      <w:color w:val="000000"/>
      <w:sz w:val="22"/>
      <w:szCs w:val="22"/>
    </w:rPr>
  </w:style>
  <w:style w:type="paragraph" w:customStyle="1" w:styleId="39">
    <w:name w:val="Table Paragraph"/>
    <w:basedOn w:val="1"/>
    <w:qFormat/>
    <w:uiPriority w:val="0"/>
    <w:rPr>
      <w:rFonts w:ascii="宋体" w:hAnsi="宋体" w:eastAsia="宋体" w:cs="宋体"/>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10581</Words>
  <Characters>11963</Characters>
  <TotalTime>46</TotalTime>
  <ScaleCrop>false</ScaleCrop>
  <LinksUpToDate>false</LinksUpToDate>
  <CharactersWithSpaces>12368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2025-04-01T02:31:04Z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2052-12.1.0.20305</vt:lpwstr>
  </property>
  <property fmtid="{D5CDD505-2E9C-101B-9397-08002B2CF9AE}" pid="5" name="ICV">
    <vt:lpwstr>8AC5080E3A84451EB8124B96EFCFCF13_13</vt:lpwstr>
  </property>
  <property fmtid="{D5CDD505-2E9C-101B-9397-08002B2CF9AE}" pid="6" name="KSOTemplateDocerSaveRecord">
    <vt:lpwstr>eyJoZGlkIjoiYTUyM2UwYjBmYzc3YmM3ZjI1ODg2NTk3ZGJhZGNiNGIiLCJ1c2VySWQiOiI0MTY3MTE2MDgifQ==</vt:lpwstr>
  </property>
</Properties>
</file>