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BEEFB">
      <w:pPr>
        <w:rPr>
          <w:rFonts w:hint="eastAsia" w:ascii="宋体" w:hAnsi="宋体" w:eastAsia="宋体" w:cs="宋体"/>
          <w:b/>
          <w:bCs/>
          <w:sz w:val="32"/>
          <w:szCs w:val="32"/>
          <w:highlight w:val="none"/>
          <w:lang w:eastAsia="zh-CN"/>
        </w:rPr>
        <w:sectPr>
          <w:headerReference r:id="rId4" w:type="first"/>
          <w:headerReference r:id="rId3" w:type="default"/>
          <w:footerReference r:id="rId5" w:type="default"/>
          <w:pgSz w:w="11850" w:h="16783"/>
          <w:pgMar w:top="1440" w:right="1800" w:bottom="1440" w:left="1800" w:header="0" w:footer="1233" w:gutter="0"/>
          <w:cols w:space="720" w:num="1"/>
        </w:sectPr>
      </w:pPr>
      <w:r>
        <w:rPr>
          <w:rFonts w:hint="eastAsia" w:ascii="宋体" w:hAnsi="宋体" w:eastAsia="宋体" w:cs="宋体"/>
          <w:b/>
          <w:bCs/>
          <w:sz w:val="32"/>
          <w:szCs w:val="32"/>
          <w:highlight w:val="none"/>
          <w:lang w:eastAsia="zh-CN"/>
        </w:rPr>
        <w:drawing>
          <wp:inline distT="0" distB="0" distL="114300" distR="114300">
            <wp:extent cx="5480050" cy="7752080"/>
            <wp:effectExtent l="0" t="0" r="6350" b="1270"/>
            <wp:docPr id="1" name="图片 1"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
                    <pic:cNvPicPr>
                      <a:picLocks noChangeAspect="1"/>
                    </pic:cNvPicPr>
                  </pic:nvPicPr>
                  <pic:blipFill>
                    <a:blip r:embed="rId13"/>
                    <a:stretch>
                      <a:fillRect/>
                    </a:stretch>
                  </pic:blipFill>
                  <pic:spPr>
                    <a:xfrm>
                      <a:off x="0" y="0"/>
                      <a:ext cx="5480050" cy="7752080"/>
                    </a:xfrm>
                    <a:prstGeom prst="rect">
                      <a:avLst/>
                    </a:prstGeom>
                  </pic:spPr>
                </pic:pic>
              </a:graphicData>
            </a:graphic>
          </wp:inline>
        </w:drawing>
      </w:r>
    </w:p>
    <w:p w14:paraId="4759C9D4">
      <w:pPr>
        <w:rPr>
          <w:rFonts w:ascii="宋体" w:hAnsi="宋体" w:cs="宋体"/>
          <w:b/>
          <w:bCs/>
          <w:sz w:val="32"/>
          <w:szCs w:val="32"/>
          <w:highlight w:val="none"/>
        </w:rPr>
      </w:pPr>
    </w:p>
    <w:p w14:paraId="0DA060B9">
      <w:pPr>
        <w:pStyle w:val="11"/>
        <w:widowControl/>
        <w:spacing w:line="360" w:lineRule="auto"/>
        <w:ind w:left="0"/>
        <w:jc w:val="center"/>
        <w:rPr>
          <w:rFonts w:ascii="宋体" w:hAnsi="宋体" w:eastAsia="宋体" w:cs="宋体"/>
          <w:b/>
          <w:bCs/>
          <w:kern w:val="2"/>
          <w:highlight w:val="none"/>
          <w:lang w:val="en-US"/>
        </w:rPr>
      </w:pPr>
    </w:p>
    <w:p w14:paraId="7F2372AE">
      <w:pPr>
        <w:pStyle w:val="11"/>
        <w:widowControl/>
        <w:spacing w:line="360" w:lineRule="auto"/>
        <w:ind w:left="0"/>
        <w:jc w:val="center"/>
        <w:rPr>
          <w:rFonts w:ascii="宋体" w:hAnsi="宋体" w:eastAsia="宋体" w:cs="宋体"/>
          <w:b/>
          <w:bCs/>
          <w:kern w:val="2"/>
          <w:sz w:val="52"/>
          <w:szCs w:val="52"/>
          <w:highlight w:val="none"/>
          <w:lang w:val="en-US"/>
        </w:rPr>
      </w:pPr>
      <w:r>
        <w:rPr>
          <w:rFonts w:hint="eastAsia" w:ascii="宋体" w:hAnsi="宋体" w:eastAsia="宋体" w:cs="宋体"/>
          <w:b/>
          <w:bCs/>
          <w:kern w:val="2"/>
          <w:sz w:val="52"/>
          <w:szCs w:val="52"/>
          <w:highlight w:val="none"/>
          <w:lang w:val="en-US"/>
        </w:rPr>
        <w:t>叶县公安局执法办案中心设备采购项目</w:t>
      </w:r>
    </w:p>
    <w:p w14:paraId="5B2EC3AE">
      <w:pPr>
        <w:widowControl/>
        <w:ind w:right="-370"/>
        <w:jc w:val="center"/>
        <w:rPr>
          <w:rFonts w:ascii="宋体" w:hAnsi="宋体" w:cs="宋体"/>
          <w:b/>
          <w:bCs/>
          <w:sz w:val="44"/>
          <w:szCs w:val="44"/>
          <w:highlight w:val="none"/>
        </w:rPr>
      </w:pPr>
    </w:p>
    <w:p w14:paraId="638C8D60">
      <w:pPr>
        <w:pStyle w:val="29"/>
        <w:rPr>
          <w:highlight w:val="none"/>
        </w:rPr>
      </w:pPr>
    </w:p>
    <w:p w14:paraId="0FFE8B10">
      <w:pPr>
        <w:pStyle w:val="29"/>
        <w:rPr>
          <w:highlight w:val="none"/>
        </w:rPr>
      </w:pPr>
    </w:p>
    <w:p w14:paraId="7570374C">
      <w:pPr>
        <w:pStyle w:val="29"/>
        <w:rPr>
          <w:highlight w:val="none"/>
        </w:rPr>
      </w:pPr>
    </w:p>
    <w:p w14:paraId="32EB8661">
      <w:pPr>
        <w:pStyle w:val="29"/>
        <w:rPr>
          <w:highlight w:val="none"/>
        </w:rPr>
      </w:pPr>
    </w:p>
    <w:p w14:paraId="20777CD8">
      <w:pPr>
        <w:widowControl/>
        <w:spacing w:line="360" w:lineRule="auto"/>
        <w:jc w:val="center"/>
        <w:textAlignment w:val="baseline"/>
        <w:rPr>
          <w:rFonts w:ascii="宋体" w:hAnsi="宋体" w:cs="宋体"/>
          <w:b/>
          <w:sz w:val="96"/>
          <w:szCs w:val="96"/>
          <w:highlight w:val="none"/>
        </w:rPr>
      </w:pPr>
      <w:r>
        <w:rPr>
          <w:rFonts w:hint="eastAsia" w:ascii="宋体" w:hAnsi="宋体" w:cs="宋体"/>
          <w:b/>
          <w:sz w:val="96"/>
          <w:szCs w:val="96"/>
          <w:highlight w:val="none"/>
        </w:rPr>
        <w:t xml:space="preserve">招标文件 </w:t>
      </w:r>
    </w:p>
    <w:p w14:paraId="775B4FFB">
      <w:pPr>
        <w:jc w:val="center"/>
        <w:rPr>
          <w:rFonts w:ascii="宋体" w:hAnsi="宋体" w:cs="宋体"/>
          <w:sz w:val="48"/>
          <w:szCs w:val="48"/>
          <w:highlight w:val="none"/>
        </w:rPr>
      </w:pPr>
    </w:p>
    <w:p w14:paraId="4FB23522">
      <w:pPr>
        <w:pStyle w:val="15"/>
        <w:jc w:val="center"/>
        <w:rPr>
          <w:highlight w:val="none"/>
        </w:rPr>
      </w:pPr>
    </w:p>
    <w:p w14:paraId="2D26CB5F">
      <w:pPr>
        <w:widowControl/>
        <w:spacing w:line="425" w:lineRule="atLeast"/>
        <w:jc w:val="center"/>
        <w:textAlignment w:val="baseline"/>
        <w:rPr>
          <w:rFonts w:ascii="宋体" w:hAnsi="宋体" w:cs="宋体"/>
          <w:sz w:val="36"/>
          <w:szCs w:val="36"/>
          <w:highlight w:val="none"/>
        </w:rPr>
      </w:pPr>
    </w:p>
    <w:p w14:paraId="141FDEFA">
      <w:pPr>
        <w:rPr>
          <w:rFonts w:ascii="宋体" w:hAnsi="宋体" w:cs="宋体"/>
          <w:sz w:val="36"/>
          <w:szCs w:val="36"/>
          <w:highlight w:val="none"/>
        </w:rPr>
      </w:pPr>
    </w:p>
    <w:p w14:paraId="2E4E7171">
      <w:pPr>
        <w:pStyle w:val="2"/>
        <w:ind w:firstLine="0" w:firstLineChars="0"/>
        <w:rPr>
          <w:rFonts w:ascii="宋体" w:hAnsi="宋体"/>
          <w:highlight w:val="none"/>
        </w:rPr>
      </w:pPr>
    </w:p>
    <w:p w14:paraId="742093A3">
      <w:pPr>
        <w:pStyle w:val="7"/>
        <w:ind w:firstLine="440"/>
        <w:rPr>
          <w:highlight w:val="none"/>
        </w:rPr>
      </w:pPr>
    </w:p>
    <w:p w14:paraId="3A0EE10A">
      <w:pPr>
        <w:pStyle w:val="15"/>
        <w:rPr>
          <w:highlight w:val="none"/>
        </w:rPr>
      </w:pPr>
    </w:p>
    <w:p w14:paraId="5CDA1678">
      <w:pPr>
        <w:pStyle w:val="7"/>
        <w:ind w:left="0" w:leftChars="0" w:firstLine="0" w:firstLineChars="0"/>
        <w:rPr>
          <w:highlight w:val="none"/>
        </w:rPr>
      </w:pPr>
    </w:p>
    <w:p w14:paraId="61EF10FB">
      <w:pPr>
        <w:pStyle w:val="29"/>
        <w:rPr>
          <w:sz w:val="36"/>
          <w:szCs w:val="36"/>
          <w:highlight w:val="none"/>
        </w:rPr>
      </w:pPr>
    </w:p>
    <w:p w14:paraId="4BD9E12C">
      <w:pPr>
        <w:widowControl/>
        <w:snapToGrid w:val="0"/>
        <w:spacing w:line="360" w:lineRule="auto"/>
        <w:ind w:firstLine="964" w:firstLineChars="300"/>
        <w:textAlignment w:val="baseline"/>
        <w:rPr>
          <w:rFonts w:ascii="宋体" w:hAnsi="宋体" w:cs="宋体"/>
          <w:b/>
          <w:bCs/>
          <w:sz w:val="32"/>
          <w:szCs w:val="32"/>
          <w:highlight w:val="none"/>
        </w:rPr>
      </w:pPr>
      <w:r>
        <w:rPr>
          <w:rFonts w:hint="eastAsia" w:ascii="宋体" w:hAnsi="宋体" w:cs="宋体"/>
          <w:b/>
          <w:bCs/>
          <w:sz w:val="32"/>
          <w:szCs w:val="32"/>
          <w:highlight w:val="none"/>
        </w:rPr>
        <w:t>采购人：叶县公安局</w:t>
      </w:r>
    </w:p>
    <w:p w14:paraId="13FA9278">
      <w:pPr>
        <w:widowControl/>
        <w:snapToGrid w:val="0"/>
        <w:spacing w:line="360" w:lineRule="auto"/>
        <w:ind w:left="836" w:leftChars="398"/>
        <w:textAlignment w:val="baseline"/>
        <w:rPr>
          <w:rFonts w:ascii="宋体" w:hAnsi="宋体" w:cs="宋体"/>
          <w:b/>
          <w:bCs/>
          <w:sz w:val="32"/>
          <w:szCs w:val="32"/>
          <w:highlight w:val="none"/>
        </w:rPr>
      </w:pPr>
      <w:r>
        <w:rPr>
          <w:rFonts w:hint="eastAsia" w:ascii="宋体" w:hAnsi="宋体" w:cs="宋体"/>
          <w:b/>
          <w:bCs/>
          <w:sz w:val="32"/>
          <w:szCs w:val="32"/>
          <w:highlight w:val="none"/>
        </w:rPr>
        <w:t xml:space="preserve"> 招标代理机构：</w:t>
      </w:r>
      <w:r>
        <w:rPr>
          <w:rFonts w:hint="eastAsia" w:ascii="宋体" w:hAnsi="宋体" w:cs="宋体"/>
          <w:b/>
          <w:bCs/>
          <w:kern w:val="0"/>
          <w:sz w:val="32"/>
          <w:szCs w:val="32"/>
          <w:highlight w:val="none"/>
        </w:rPr>
        <w:t>师梦勘测设计集团有限公司</w:t>
      </w:r>
    </w:p>
    <w:p w14:paraId="02C2AF31">
      <w:pPr>
        <w:widowControl/>
        <w:snapToGrid w:val="0"/>
        <w:spacing w:line="360" w:lineRule="auto"/>
        <w:ind w:left="836" w:leftChars="398"/>
        <w:textAlignment w:val="baseline"/>
        <w:rPr>
          <w:rFonts w:ascii="宋体" w:hAnsi="宋体" w:cs="宋体"/>
          <w:b/>
          <w:bCs/>
          <w:sz w:val="32"/>
          <w:szCs w:val="32"/>
          <w:highlight w:val="none"/>
        </w:rPr>
      </w:pPr>
      <w:r>
        <w:rPr>
          <w:rFonts w:hint="eastAsia" w:ascii="宋体" w:hAnsi="宋体" w:cs="宋体"/>
          <w:b/>
          <w:bCs/>
          <w:sz w:val="32"/>
          <w:szCs w:val="32"/>
          <w:highlight w:val="none"/>
        </w:rPr>
        <w:t xml:space="preserve"> 日        期：二○二五年十月</w:t>
      </w:r>
    </w:p>
    <w:p w14:paraId="7D873091">
      <w:pPr>
        <w:rPr>
          <w:rFonts w:ascii="宋体" w:hAnsi="宋体" w:cs="宋体"/>
          <w:b/>
          <w:bCs/>
          <w:sz w:val="32"/>
          <w:szCs w:val="32"/>
          <w:highlight w:val="none"/>
        </w:rPr>
      </w:pPr>
      <w:r>
        <w:rPr>
          <w:rFonts w:hint="eastAsia" w:ascii="宋体" w:hAnsi="宋体" w:cs="宋体"/>
          <w:b/>
          <w:bCs/>
          <w:sz w:val="32"/>
          <w:szCs w:val="32"/>
          <w:highlight w:val="none"/>
        </w:rPr>
        <w:br w:type="page"/>
      </w:r>
    </w:p>
    <w:p w14:paraId="1193FD1A">
      <w:pPr>
        <w:tabs>
          <w:tab w:val="left" w:pos="840"/>
        </w:tabs>
        <w:spacing w:before="19"/>
        <w:ind w:right="83"/>
        <w:rPr>
          <w:rFonts w:ascii="宋体" w:hAnsi="宋体" w:cs="宋体"/>
          <w:b/>
          <w:sz w:val="44"/>
          <w:highlight w:val="none"/>
        </w:rPr>
      </w:pPr>
    </w:p>
    <w:p w14:paraId="12895BE3">
      <w:pPr>
        <w:tabs>
          <w:tab w:val="left" w:pos="840"/>
        </w:tabs>
        <w:spacing w:before="19"/>
        <w:ind w:right="83"/>
        <w:jc w:val="center"/>
        <w:rPr>
          <w:rFonts w:ascii="宋体" w:hAnsi="宋体" w:cs="宋体"/>
          <w:b/>
          <w:sz w:val="32"/>
          <w:szCs w:val="32"/>
          <w:highlight w:val="none"/>
        </w:rPr>
      </w:pPr>
      <w:r>
        <w:rPr>
          <w:rFonts w:hint="eastAsia" w:ascii="宋体" w:hAnsi="宋体" w:cs="宋体"/>
          <w:b/>
          <w:sz w:val="32"/>
          <w:szCs w:val="32"/>
          <w:highlight w:val="none"/>
        </w:rPr>
        <w:t>目</w:t>
      </w:r>
      <w:r>
        <w:rPr>
          <w:rFonts w:hint="eastAsia" w:ascii="宋体" w:hAnsi="宋体" w:cs="宋体"/>
          <w:b/>
          <w:sz w:val="32"/>
          <w:szCs w:val="32"/>
          <w:highlight w:val="none"/>
        </w:rPr>
        <w:tab/>
      </w:r>
      <w:r>
        <w:rPr>
          <w:rFonts w:hint="eastAsia" w:ascii="宋体" w:hAnsi="宋体" w:cs="宋体"/>
          <w:b/>
          <w:sz w:val="32"/>
          <w:szCs w:val="32"/>
          <w:highlight w:val="none"/>
        </w:rPr>
        <w:t>录</w:t>
      </w:r>
    </w:p>
    <w:p w14:paraId="12580543">
      <w:pPr>
        <w:pStyle w:val="3"/>
        <w:spacing w:before="11" w:line="480" w:lineRule="auto"/>
        <w:rPr>
          <w:b/>
          <w:sz w:val="23"/>
          <w:highlight w:val="none"/>
        </w:rPr>
      </w:pPr>
    </w:p>
    <w:p w14:paraId="3FAE16AD">
      <w:pPr>
        <w:pStyle w:val="22"/>
        <w:tabs>
          <w:tab w:val="right" w:leader="dot" w:pos="8250"/>
        </w:tabs>
        <w:spacing w:line="480" w:lineRule="auto"/>
        <w:rPr>
          <w:sz w:val="28"/>
          <w:szCs w:val="28"/>
          <w:highlight w:val="none"/>
        </w:rPr>
      </w:pPr>
      <w:r>
        <w:rPr>
          <w:rFonts w:hint="eastAsia"/>
          <w:b/>
          <w:sz w:val="28"/>
          <w:szCs w:val="28"/>
          <w:highlight w:val="none"/>
        </w:rPr>
        <w:fldChar w:fldCharType="begin"/>
      </w:r>
      <w:r>
        <w:rPr>
          <w:rFonts w:hint="eastAsia"/>
          <w:b/>
          <w:sz w:val="28"/>
          <w:szCs w:val="28"/>
          <w:highlight w:val="none"/>
        </w:rPr>
        <w:instrText xml:space="preserve">TOC \o "1-1" \h \u </w:instrText>
      </w:r>
      <w:r>
        <w:rPr>
          <w:rFonts w:hint="eastAsia"/>
          <w:b/>
          <w:sz w:val="28"/>
          <w:szCs w:val="28"/>
          <w:highlight w:val="none"/>
        </w:rPr>
        <w:fldChar w:fldCharType="separate"/>
      </w:r>
      <w:r>
        <w:rPr>
          <w:highlight w:val="none"/>
        </w:rPr>
        <w:fldChar w:fldCharType="begin"/>
      </w:r>
      <w:r>
        <w:rPr>
          <w:highlight w:val="none"/>
        </w:rPr>
        <w:instrText xml:space="preserve"> HYPERLINK \l "_Toc27333" </w:instrText>
      </w:r>
      <w:r>
        <w:rPr>
          <w:highlight w:val="none"/>
        </w:rPr>
        <w:fldChar w:fldCharType="separate"/>
      </w:r>
      <w:r>
        <w:rPr>
          <w:rFonts w:hint="eastAsia"/>
          <w:sz w:val="28"/>
          <w:szCs w:val="28"/>
          <w:highlight w:val="none"/>
        </w:rPr>
        <w:t>第一章招标公告</w:t>
      </w:r>
      <w:r>
        <w:rPr>
          <w:rFonts w:hint="eastAsia"/>
          <w:sz w:val="28"/>
          <w:szCs w:val="28"/>
          <w:highlight w:val="none"/>
        </w:rPr>
        <w:tab/>
      </w:r>
      <w:r>
        <w:rPr>
          <w:rFonts w:hint="eastAsia"/>
          <w:sz w:val="28"/>
          <w:szCs w:val="28"/>
          <w:highlight w:val="none"/>
        </w:rPr>
        <w:fldChar w:fldCharType="begin"/>
      </w:r>
      <w:r>
        <w:rPr>
          <w:rFonts w:hint="eastAsia"/>
          <w:sz w:val="28"/>
          <w:szCs w:val="28"/>
          <w:highlight w:val="none"/>
        </w:rPr>
        <w:instrText xml:space="preserve"> PAGEREF _Toc27333 \h </w:instrText>
      </w:r>
      <w:r>
        <w:rPr>
          <w:rFonts w:hint="eastAsia"/>
          <w:sz w:val="28"/>
          <w:szCs w:val="28"/>
          <w:highlight w:val="none"/>
        </w:rPr>
        <w:fldChar w:fldCharType="separate"/>
      </w:r>
      <w:r>
        <w:rPr>
          <w:rFonts w:hint="eastAsia"/>
          <w:sz w:val="28"/>
          <w:szCs w:val="28"/>
          <w:highlight w:val="none"/>
        </w:rPr>
        <w:t>3</w:t>
      </w:r>
      <w:r>
        <w:rPr>
          <w:rFonts w:hint="eastAsia"/>
          <w:sz w:val="28"/>
          <w:szCs w:val="28"/>
          <w:highlight w:val="none"/>
        </w:rPr>
        <w:fldChar w:fldCharType="end"/>
      </w:r>
      <w:r>
        <w:rPr>
          <w:rFonts w:hint="eastAsia"/>
          <w:sz w:val="28"/>
          <w:szCs w:val="28"/>
          <w:highlight w:val="none"/>
        </w:rPr>
        <w:fldChar w:fldCharType="end"/>
      </w:r>
    </w:p>
    <w:p w14:paraId="65AB9E51">
      <w:pPr>
        <w:pStyle w:val="22"/>
        <w:tabs>
          <w:tab w:val="right" w:leader="dot" w:pos="8250"/>
        </w:tabs>
        <w:spacing w:line="480" w:lineRule="auto"/>
        <w:rPr>
          <w:sz w:val="28"/>
          <w:szCs w:val="28"/>
          <w:highlight w:val="none"/>
        </w:rPr>
      </w:pPr>
      <w:r>
        <w:rPr>
          <w:highlight w:val="none"/>
        </w:rPr>
        <w:fldChar w:fldCharType="begin"/>
      </w:r>
      <w:r>
        <w:rPr>
          <w:highlight w:val="none"/>
        </w:rPr>
        <w:instrText xml:space="preserve"> HYPERLINK \l "_Toc12728" </w:instrText>
      </w:r>
      <w:r>
        <w:rPr>
          <w:highlight w:val="none"/>
        </w:rPr>
        <w:fldChar w:fldCharType="separate"/>
      </w:r>
      <w:r>
        <w:rPr>
          <w:rFonts w:hint="eastAsia"/>
          <w:sz w:val="28"/>
          <w:szCs w:val="28"/>
          <w:highlight w:val="none"/>
        </w:rPr>
        <w:t>第二章 投标人须知</w:t>
      </w:r>
      <w:r>
        <w:rPr>
          <w:rFonts w:hint="eastAsia"/>
          <w:sz w:val="28"/>
          <w:szCs w:val="28"/>
          <w:highlight w:val="none"/>
        </w:rPr>
        <w:tab/>
      </w:r>
      <w:r>
        <w:rPr>
          <w:rFonts w:hint="eastAsia"/>
          <w:sz w:val="28"/>
          <w:szCs w:val="28"/>
          <w:highlight w:val="none"/>
        </w:rPr>
        <w:fldChar w:fldCharType="begin"/>
      </w:r>
      <w:r>
        <w:rPr>
          <w:rFonts w:hint="eastAsia"/>
          <w:sz w:val="28"/>
          <w:szCs w:val="28"/>
          <w:highlight w:val="none"/>
        </w:rPr>
        <w:instrText xml:space="preserve"> PAGEREF _Toc12728 \h </w:instrText>
      </w:r>
      <w:r>
        <w:rPr>
          <w:rFonts w:hint="eastAsia"/>
          <w:sz w:val="28"/>
          <w:szCs w:val="28"/>
          <w:highlight w:val="none"/>
        </w:rPr>
        <w:fldChar w:fldCharType="separate"/>
      </w:r>
      <w:r>
        <w:rPr>
          <w:rFonts w:hint="eastAsia"/>
          <w:sz w:val="28"/>
          <w:szCs w:val="28"/>
          <w:highlight w:val="none"/>
        </w:rPr>
        <w:t>8</w:t>
      </w:r>
      <w:r>
        <w:rPr>
          <w:rFonts w:hint="eastAsia"/>
          <w:sz w:val="28"/>
          <w:szCs w:val="28"/>
          <w:highlight w:val="none"/>
        </w:rPr>
        <w:fldChar w:fldCharType="end"/>
      </w:r>
      <w:r>
        <w:rPr>
          <w:rFonts w:hint="eastAsia"/>
          <w:sz w:val="28"/>
          <w:szCs w:val="28"/>
          <w:highlight w:val="none"/>
        </w:rPr>
        <w:fldChar w:fldCharType="end"/>
      </w:r>
    </w:p>
    <w:p w14:paraId="6F9A4A71">
      <w:pPr>
        <w:pStyle w:val="22"/>
        <w:tabs>
          <w:tab w:val="right" w:leader="dot" w:pos="8250"/>
        </w:tabs>
        <w:spacing w:line="480" w:lineRule="auto"/>
        <w:rPr>
          <w:sz w:val="28"/>
          <w:szCs w:val="28"/>
          <w:highlight w:val="none"/>
        </w:rPr>
      </w:pPr>
      <w:r>
        <w:rPr>
          <w:highlight w:val="none"/>
        </w:rPr>
        <w:fldChar w:fldCharType="begin"/>
      </w:r>
      <w:r>
        <w:rPr>
          <w:highlight w:val="none"/>
        </w:rPr>
        <w:instrText xml:space="preserve"> HYPERLINK \l "_Toc31356" </w:instrText>
      </w:r>
      <w:r>
        <w:rPr>
          <w:highlight w:val="none"/>
        </w:rPr>
        <w:fldChar w:fldCharType="separate"/>
      </w:r>
      <w:r>
        <w:rPr>
          <w:rFonts w:hint="eastAsia"/>
          <w:sz w:val="28"/>
          <w:szCs w:val="28"/>
          <w:highlight w:val="none"/>
        </w:rPr>
        <w:t>第三章 评标办法</w:t>
      </w:r>
      <w:r>
        <w:rPr>
          <w:rFonts w:hint="eastAsia"/>
          <w:sz w:val="28"/>
          <w:szCs w:val="28"/>
          <w:highlight w:val="none"/>
        </w:rPr>
        <w:tab/>
      </w:r>
      <w:r>
        <w:rPr>
          <w:rFonts w:hint="eastAsia"/>
          <w:sz w:val="28"/>
          <w:szCs w:val="28"/>
          <w:highlight w:val="none"/>
        </w:rPr>
        <w:fldChar w:fldCharType="begin"/>
      </w:r>
      <w:r>
        <w:rPr>
          <w:rFonts w:hint="eastAsia"/>
          <w:sz w:val="28"/>
          <w:szCs w:val="28"/>
          <w:highlight w:val="none"/>
        </w:rPr>
        <w:instrText xml:space="preserve"> PAGEREF _Toc31356 \h </w:instrText>
      </w:r>
      <w:r>
        <w:rPr>
          <w:rFonts w:hint="eastAsia"/>
          <w:sz w:val="28"/>
          <w:szCs w:val="28"/>
          <w:highlight w:val="none"/>
        </w:rPr>
        <w:fldChar w:fldCharType="separate"/>
      </w:r>
      <w:r>
        <w:rPr>
          <w:rFonts w:hint="eastAsia"/>
          <w:sz w:val="28"/>
          <w:szCs w:val="28"/>
          <w:highlight w:val="none"/>
        </w:rPr>
        <w:t>22</w:t>
      </w:r>
      <w:r>
        <w:rPr>
          <w:rFonts w:hint="eastAsia"/>
          <w:sz w:val="28"/>
          <w:szCs w:val="28"/>
          <w:highlight w:val="none"/>
        </w:rPr>
        <w:fldChar w:fldCharType="end"/>
      </w:r>
      <w:r>
        <w:rPr>
          <w:rFonts w:hint="eastAsia"/>
          <w:sz w:val="28"/>
          <w:szCs w:val="28"/>
          <w:highlight w:val="none"/>
        </w:rPr>
        <w:fldChar w:fldCharType="end"/>
      </w:r>
    </w:p>
    <w:p w14:paraId="38CF1FE7">
      <w:pPr>
        <w:pStyle w:val="22"/>
        <w:tabs>
          <w:tab w:val="right" w:leader="dot" w:pos="8250"/>
        </w:tabs>
        <w:spacing w:line="480" w:lineRule="auto"/>
        <w:rPr>
          <w:sz w:val="28"/>
          <w:szCs w:val="28"/>
          <w:highlight w:val="none"/>
        </w:rPr>
      </w:pPr>
      <w:r>
        <w:rPr>
          <w:highlight w:val="none"/>
        </w:rPr>
        <w:fldChar w:fldCharType="begin"/>
      </w:r>
      <w:r>
        <w:rPr>
          <w:highlight w:val="none"/>
        </w:rPr>
        <w:instrText xml:space="preserve"> HYPERLINK \l "_Toc22218" </w:instrText>
      </w:r>
      <w:r>
        <w:rPr>
          <w:highlight w:val="none"/>
        </w:rPr>
        <w:fldChar w:fldCharType="separate"/>
      </w:r>
      <w:r>
        <w:rPr>
          <w:rFonts w:hint="eastAsia"/>
          <w:sz w:val="28"/>
          <w:szCs w:val="28"/>
          <w:highlight w:val="none"/>
        </w:rPr>
        <w:t>第四章合同条款及格式</w:t>
      </w:r>
      <w:r>
        <w:rPr>
          <w:rFonts w:hint="eastAsia"/>
          <w:sz w:val="28"/>
          <w:szCs w:val="28"/>
          <w:highlight w:val="none"/>
        </w:rPr>
        <w:tab/>
      </w:r>
      <w:r>
        <w:rPr>
          <w:rFonts w:hint="eastAsia"/>
          <w:sz w:val="28"/>
          <w:szCs w:val="28"/>
          <w:highlight w:val="none"/>
        </w:rPr>
        <w:fldChar w:fldCharType="begin"/>
      </w:r>
      <w:r>
        <w:rPr>
          <w:rFonts w:hint="eastAsia"/>
          <w:sz w:val="28"/>
          <w:szCs w:val="28"/>
          <w:highlight w:val="none"/>
        </w:rPr>
        <w:instrText xml:space="preserve"> PAGEREF _Toc22218 \h </w:instrText>
      </w:r>
      <w:r>
        <w:rPr>
          <w:rFonts w:hint="eastAsia"/>
          <w:sz w:val="28"/>
          <w:szCs w:val="28"/>
          <w:highlight w:val="none"/>
        </w:rPr>
        <w:fldChar w:fldCharType="separate"/>
      </w:r>
      <w:r>
        <w:rPr>
          <w:rFonts w:hint="eastAsia"/>
          <w:sz w:val="28"/>
          <w:szCs w:val="28"/>
          <w:highlight w:val="none"/>
        </w:rPr>
        <w:t>30</w:t>
      </w:r>
      <w:r>
        <w:rPr>
          <w:rFonts w:hint="eastAsia"/>
          <w:sz w:val="28"/>
          <w:szCs w:val="28"/>
          <w:highlight w:val="none"/>
        </w:rPr>
        <w:fldChar w:fldCharType="end"/>
      </w:r>
      <w:r>
        <w:rPr>
          <w:rFonts w:hint="eastAsia"/>
          <w:sz w:val="28"/>
          <w:szCs w:val="28"/>
          <w:highlight w:val="none"/>
        </w:rPr>
        <w:fldChar w:fldCharType="end"/>
      </w:r>
    </w:p>
    <w:p w14:paraId="6C03D85E">
      <w:pPr>
        <w:pStyle w:val="22"/>
        <w:tabs>
          <w:tab w:val="right" w:leader="dot" w:pos="8250"/>
        </w:tabs>
        <w:spacing w:line="480" w:lineRule="auto"/>
        <w:rPr>
          <w:sz w:val="28"/>
          <w:szCs w:val="28"/>
          <w:highlight w:val="none"/>
        </w:rPr>
      </w:pPr>
      <w:r>
        <w:rPr>
          <w:highlight w:val="none"/>
        </w:rPr>
        <w:fldChar w:fldCharType="begin"/>
      </w:r>
      <w:r>
        <w:rPr>
          <w:highlight w:val="none"/>
        </w:rPr>
        <w:instrText xml:space="preserve"> HYPERLINK \l "_Toc12230" </w:instrText>
      </w:r>
      <w:r>
        <w:rPr>
          <w:highlight w:val="none"/>
        </w:rPr>
        <w:fldChar w:fldCharType="separate"/>
      </w:r>
      <w:r>
        <w:rPr>
          <w:rFonts w:hint="eastAsia"/>
          <w:sz w:val="28"/>
          <w:szCs w:val="28"/>
          <w:highlight w:val="none"/>
        </w:rPr>
        <w:t>第五章</w:t>
      </w:r>
      <w:r>
        <w:rPr>
          <w:rFonts w:hint="eastAsia"/>
          <w:sz w:val="28"/>
          <w:szCs w:val="28"/>
          <w:highlight w:val="none"/>
          <w:lang w:val="en-US"/>
        </w:rPr>
        <w:t>采购</w:t>
      </w:r>
      <w:r>
        <w:rPr>
          <w:rFonts w:hint="eastAsia"/>
          <w:sz w:val="28"/>
          <w:szCs w:val="28"/>
          <w:highlight w:val="none"/>
        </w:rPr>
        <w:t>内容及要求</w:t>
      </w:r>
      <w:r>
        <w:rPr>
          <w:rFonts w:hint="eastAsia"/>
          <w:sz w:val="28"/>
          <w:szCs w:val="28"/>
          <w:highlight w:val="none"/>
        </w:rPr>
        <w:tab/>
      </w:r>
      <w:r>
        <w:rPr>
          <w:rFonts w:hint="eastAsia"/>
          <w:sz w:val="28"/>
          <w:szCs w:val="28"/>
          <w:highlight w:val="none"/>
        </w:rPr>
        <w:fldChar w:fldCharType="begin"/>
      </w:r>
      <w:r>
        <w:rPr>
          <w:rFonts w:hint="eastAsia"/>
          <w:sz w:val="28"/>
          <w:szCs w:val="28"/>
          <w:highlight w:val="none"/>
        </w:rPr>
        <w:instrText xml:space="preserve"> PAGEREF _Toc12230 \h </w:instrText>
      </w:r>
      <w:r>
        <w:rPr>
          <w:rFonts w:hint="eastAsia"/>
          <w:sz w:val="28"/>
          <w:szCs w:val="28"/>
          <w:highlight w:val="none"/>
        </w:rPr>
        <w:fldChar w:fldCharType="separate"/>
      </w:r>
      <w:r>
        <w:rPr>
          <w:rFonts w:hint="eastAsia"/>
          <w:sz w:val="28"/>
          <w:szCs w:val="28"/>
          <w:highlight w:val="none"/>
        </w:rPr>
        <w:t>33</w:t>
      </w:r>
      <w:r>
        <w:rPr>
          <w:rFonts w:hint="eastAsia"/>
          <w:sz w:val="28"/>
          <w:szCs w:val="28"/>
          <w:highlight w:val="none"/>
        </w:rPr>
        <w:fldChar w:fldCharType="end"/>
      </w:r>
      <w:r>
        <w:rPr>
          <w:rFonts w:hint="eastAsia"/>
          <w:sz w:val="28"/>
          <w:szCs w:val="28"/>
          <w:highlight w:val="none"/>
        </w:rPr>
        <w:fldChar w:fldCharType="end"/>
      </w:r>
    </w:p>
    <w:p w14:paraId="7117B266">
      <w:pPr>
        <w:pStyle w:val="22"/>
        <w:tabs>
          <w:tab w:val="right" w:leader="dot" w:pos="8250"/>
        </w:tabs>
        <w:spacing w:line="480" w:lineRule="auto"/>
        <w:rPr>
          <w:rFonts w:hint="default" w:eastAsia="宋体"/>
          <w:sz w:val="28"/>
          <w:szCs w:val="28"/>
          <w:highlight w:val="none"/>
          <w:lang w:val="en-US" w:eastAsia="zh-CN"/>
        </w:rPr>
      </w:pPr>
      <w:r>
        <w:rPr>
          <w:highlight w:val="none"/>
        </w:rPr>
        <w:fldChar w:fldCharType="begin"/>
      </w:r>
      <w:r>
        <w:rPr>
          <w:highlight w:val="none"/>
        </w:rPr>
        <w:instrText xml:space="preserve"> HYPERLINK \l "_Toc26127" </w:instrText>
      </w:r>
      <w:r>
        <w:rPr>
          <w:highlight w:val="none"/>
        </w:rPr>
        <w:fldChar w:fldCharType="separate"/>
      </w:r>
      <w:r>
        <w:rPr>
          <w:rFonts w:hint="eastAsia"/>
          <w:sz w:val="28"/>
          <w:szCs w:val="28"/>
          <w:highlight w:val="none"/>
        </w:rPr>
        <w:t>第六章投标文件格式</w:t>
      </w:r>
      <w:r>
        <w:rPr>
          <w:rFonts w:hint="eastAsia"/>
          <w:sz w:val="28"/>
          <w:szCs w:val="28"/>
          <w:highlight w:val="none"/>
        </w:rPr>
        <w:tab/>
      </w:r>
      <w:r>
        <w:rPr>
          <w:rFonts w:hint="eastAsia"/>
          <w:sz w:val="28"/>
          <w:szCs w:val="28"/>
          <w:highlight w:val="none"/>
        </w:rPr>
        <w:fldChar w:fldCharType="end"/>
      </w:r>
      <w:r>
        <w:rPr>
          <w:rFonts w:hint="eastAsia"/>
          <w:sz w:val="28"/>
          <w:szCs w:val="28"/>
          <w:highlight w:val="none"/>
          <w:lang w:val="en-US" w:eastAsia="zh-CN"/>
        </w:rPr>
        <w:t>104</w:t>
      </w:r>
    </w:p>
    <w:p w14:paraId="1E1E8AEE">
      <w:pPr>
        <w:pStyle w:val="3"/>
        <w:spacing w:before="11" w:line="480" w:lineRule="auto"/>
        <w:rPr>
          <w:b/>
          <w:sz w:val="24"/>
          <w:szCs w:val="24"/>
          <w:highlight w:val="none"/>
        </w:rPr>
      </w:pPr>
      <w:r>
        <w:rPr>
          <w:rFonts w:hint="eastAsia"/>
          <w:sz w:val="28"/>
          <w:szCs w:val="28"/>
          <w:highlight w:val="none"/>
        </w:rPr>
        <w:fldChar w:fldCharType="end"/>
      </w:r>
    </w:p>
    <w:p w14:paraId="545D0ACA">
      <w:pPr>
        <w:pStyle w:val="3"/>
        <w:spacing w:before="11"/>
        <w:rPr>
          <w:b/>
          <w:sz w:val="23"/>
          <w:highlight w:val="none"/>
        </w:rPr>
      </w:pPr>
    </w:p>
    <w:p w14:paraId="7FC90582">
      <w:pPr>
        <w:pStyle w:val="3"/>
        <w:spacing w:before="11"/>
        <w:rPr>
          <w:b/>
          <w:sz w:val="23"/>
          <w:highlight w:val="none"/>
        </w:rPr>
      </w:pPr>
    </w:p>
    <w:p w14:paraId="682E0222">
      <w:pPr>
        <w:pStyle w:val="3"/>
        <w:spacing w:before="11"/>
        <w:rPr>
          <w:b/>
          <w:sz w:val="23"/>
          <w:highlight w:val="none"/>
        </w:rPr>
      </w:pPr>
    </w:p>
    <w:p w14:paraId="534AE956">
      <w:pPr>
        <w:pStyle w:val="3"/>
        <w:spacing w:before="11"/>
        <w:jc w:val="right"/>
        <w:rPr>
          <w:b/>
          <w:sz w:val="23"/>
          <w:highlight w:val="none"/>
        </w:rPr>
      </w:pPr>
    </w:p>
    <w:p w14:paraId="49E4CD01">
      <w:pPr>
        <w:pStyle w:val="3"/>
        <w:spacing w:before="11"/>
        <w:rPr>
          <w:b/>
          <w:sz w:val="23"/>
          <w:highlight w:val="none"/>
        </w:rPr>
      </w:pPr>
    </w:p>
    <w:p w14:paraId="6AD3D581">
      <w:pPr>
        <w:pStyle w:val="3"/>
        <w:spacing w:before="11"/>
        <w:rPr>
          <w:b/>
          <w:sz w:val="23"/>
          <w:highlight w:val="none"/>
        </w:rPr>
      </w:pPr>
    </w:p>
    <w:p w14:paraId="76C0FEE8">
      <w:pPr>
        <w:pStyle w:val="3"/>
        <w:spacing w:before="11"/>
        <w:rPr>
          <w:b/>
          <w:sz w:val="23"/>
          <w:highlight w:val="none"/>
        </w:rPr>
      </w:pPr>
    </w:p>
    <w:p w14:paraId="5087A160">
      <w:pPr>
        <w:pStyle w:val="3"/>
        <w:spacing w:before="11"/>
        <w:rPr>
          <w:b/>
          <w:sz w:val="23"/>
          <w:highlight w:val="none"/>
        </w:rPr>
      </w:pPr>
    </w:p>
    <w:p w14:paraId="2FAF616B">
      <w:pPr>
        <w:rPr>
          <w:rFonts w:ascii="宋体" w:hAnsi="宋体" w:cs="宋体"/>
          <w:b/>
          <w:sz w:val="23"/>
          <w:highlight w:val="none"/>
        </w:rPr>
      </w:pPr>
    </w:p>
    <w:p w14:paraId="716F085E">
      <w:pPr>
        <w:rPr>
          <w:rFonts w:ascii="宋体" w:hAnsi="宋体" w:cs="宋体"/>
          <w:highlight w:val="none"/>
        </w:rPr>
      </w:pPr>
    </w:p>
    <w:p w14:paraId="3492A08E">
      <w:pPr>
        <w:pStyle w:val="10"/>
        <w:numPr>
          <w:ilvl w:val="0"/>
          <w:numId w:val="2"/>
        </w:numPr>
        <w:spacing w:before="100" w:after="100" w:line="440" w:lineRule="exact"/>
        <w:ind w:right="-144"/>
        <w:rPr>
          <w:highlight w:val="none"/>
        </w:rPr>
        <w:sectPr>
          <w:footerReference r:id="rId6" w:type="default"/>
          <w:pgSz w:w="11850" w:h="16783"/>
          <w:pgMar w:top="1440" w:right="1800" w:bottom="1440" w:left="1800" w:header="0" w:footer="1233" w:gutter="0"/>
          <w:pgNumType w:start="1"/>
          <w:cols w:space="720" w:num="1"/>
        </w:sectPr>
      </w:pPr>
    </w:p>
    <w:p w14:paraId="0D053075">
      <w:pPr>
        <w:pStyle w:val="10"/>
        <w:spacing w:before="100" w:after="100"/>
        <w:ind w:right="-144"/>
        <w:rPr>
          <w:highlight w:val="none"/>
        </w:rPr>
      </w:pPr>
      <w:bookmarkStart w:id="0" w:name="_Toc4557"/>
      <w:bookmarkStart w:id="1" w:name="_Toc27333"/>
      <w:r>
        <w:rPr>
          <w:rFonts w:hint="eastAsia"/>
          <w:highlight w:val="none"/>
        </w:rPr>
        <w:t>第一章招标公告</w:t>
      </w:r>
      <w:bookmarkEnd w:id="0"/>
      <w:bookmarkEnd w:id="1"/>
    </w:p>
    <w:p w14:paraId="741996DF">
      <w:pPr>
        <w:widowControl/>
        <w:ind w:right="-370"/>
        <w:jc w:val="center"/>
        <w:rPr>
          <w:rFonts w:ascii="宋体" w:hAnsi="宋体" w:cs="宋体"/>
          <w:sz w:val="30"/>
          <w:szCs w:val="30"/>
          <w:highlight w:val="none"/>
        </w:rPr>
      </w:pPr>
      <w:r>
        <w:rPr>
          <w:rFonts w:hint="eastAsia" w:ascii="宋体" w:hAnsi="宋体" w:cs="宋体"/>
          <w:b/>
          <w:bCs/>
          <w:sz w:val="30"/>
          <w:szCs w:val="30"/>
          <w:highlight w:val="none"/>
        </w:rPr>
        <w:t>【平公资采2025</w:t>
      </w:r>
      <w:r>
        <w:rPr>
          <w:rFonts w:hint="eastAsia" w:ascii="宋体" w:hAnsi="宋体" w:cs="宋体"/>
          <w:b/>
          <w:bCs/>
          <w:sz w:val="30"/>
          <w:szCs w:val="30"/>
          <w:highlight w:val="none"/>
          <w:lang w:val="en-US" w:eastAsia="zh-CN"/>
        </w:rPr>
        <w:t>1070</w:t>
      </w:r>
      <w:r>
        <w:rPr>
          <w:rFonts w:hint="eastAsia" w:ascii="宋体" w:hAnsi="宋体" w:cs="宋体"/>
          <w:b/>
          <w:bCs/>
          <w:sz w:val="30"/>
          <w:szCs w:val="30"/>
          <w:highlight w:val="none"/>
        </w:rPr>
        <w:t>号】叶县公安局执法办案中心设备采购项目-公开招标公告</w:t>
      </w:r>
    </w:p>
    <w:p w14:paraId="35614BCA">
      <w:pPr>
        <w:spacing w:line="380" w:lineRule="exact"/>
        <w:jc w:val="left"/>
        <w:rPr>
          <w:rFonts w:ascii="宋体" w:hAnsi="宋体" w:cs="宋体"/>
          <w:sz w:val="24"/>
          <w:highlight w:val="none"/>
        </w:rPr>
      </w:pPr>
      <w:r>
        <w:rPr>
          <w:rFonts w:hint="eastAsia" w:ascii="宋体" w:hAnsi="宋体" w:cs="宋体"/>
          <w:b/>
          <w:bCs/>
          <w:sz w:val="24"/>
          <w:highlight w:val="none"/>
        </w:rPr>
        <w:t>项目概况</w:t>
      </w:r>
    </w:p>
    <w:p w14:paraId="2596D157">
      <w:pPr>
        <w:spacing w:line="380" w:lineRule="exact"/>
        <w:ind w:firstLine="480" w:firstLineChars="200"/>
        <w:jc w:val="left"/>
        <w:rPr>
          <w:rFonts w:ascii="宋体" w:hAnsi="宋体" w:cs="宋体"/>
          <w:sz w:val="24"/>
          <w:highlight w:val="none"/>
          <w:lang w:val="zh-CN"/>
        </w:rPr>
      </w:pPr>
      <w:r>
        <w:rPr>
          <w:rFonts w:hint="eastAsia" w:ascii="宋体" w:hAnsi="宋体" w:cs="宋体"/>
          <w:sz w:val="24"/>
          <w:highlight w:val="none"/>
        </w:rPr>
        <w:t>叶县公安局执法办案中心设备采购项目的潜在投标人应在全国公共资源交易平台（河南省.平顶山市）电子交易系统获取招标文件，并于2025年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日08 时40 分（北京时间）前递交投标文件。</w:t>
      </w:r>
    </w:p>
    <w:p w14:paraId="31FCD0FF">
      <w:pPr>
        <w:spacing w:line="380" w:lineRule="exact"/>
        <w:jc w:val="left"/>
        <w:rPr>
          <w:rFonts w:ascii="宋体" w:hAnsi="宋体" w:cs="宋体"/>
          <w:sz w:val="24"/>
          <w:highlight w:val="none"/>
        </w:rPr>
      </w:pPr>
      <w:r>
        <w:rPr>
          <w:rFonts w:hint="eastAsia" w:ascii="宋体" w:hAnsi="宋体" w:cs="宋体"/>
          <w:b/>
          <w:bCs/>
          <w:sz w:val="24"/>
          <w:highlight w:val="none"/>
        </w:rPr>
        <w:t>一、项目基本情况：</w:t>
      </w:r>
    </w:p>
    <w:p w14:paraId="7F0D7D93">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1、项目编号：叶财招标-2025-</w:t>
      </w:r>
      <w:r>
        <w:rPr>
          <w:rFonts w:hint="eastAsia" w:ascii="宋体" w:hAnsi="宋体" w:cs="宋体"/>
          <w:sz w:val="24"/>
          <w:highlight w:val="none"/>
          <w:lang w:val="en-US" w:eastAsia="zh-CN"/>
        </w:rPr>
        <w:t>74</w:t>
      </w:r>
      <w:r>
        <w:rPr>
          <w:rFonts w:hint="eastAsia" w:ascii="宋体" w:hAnsi="宋体" w:cs="宋体"/>
          <w:sz w:val="24"/>
          <w:highlight w:val="none"/>
        </w:rPr>
        <w:t xml:space="preserve"> </w:t>
      </w:r>
    </w:p>
    <w:p w14:paraId="7A6D4968">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2、项目名称：叶县公安局执法办案中心设备采购项目</w:t>
      </w:r>
    </w:p>
    <w:p w14:paraId="23BA6859">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 xml:space="preserve">3、采购方式：公开招标 </w:t>
      </w:r>
    </w:p>
    <w:p w14:paraId="48C6EF98">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4、预算金额：6110000元  最高限价：6110000元</w:t>
      </w:r>
    </w:p>
    <w:tbl>
      <w:tblPr>
        <w:tblStyle w:val="24"/>
        <w:tblpPr w:leftFromText="180" w:rightFromText="180" w:vertAnchor="text" w:horzAnchor="page" w:tblpX="1574" w:tblpY="434"/>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22"/>
        <w:gridCol w:w="3372"/>
        <w:gridCol w:w="1640"/>
        <w:gridCol w:w="1866"/>
      </w:tblGrid>
      <w:tr w14:paraId="5D3F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ign w:val="center"/>
          </w:tcPr>
          <w:p w14:paraId="735A4621">
            <w:pPr>
              <w:spacing w:line="440" w:lineRule="exact"/>
              <w:jc w:val="center"/>
              <w:rPr>
                <w:rFonts w:ascii="宋体" w:hAnsi="宋体" w:cs="宋体"/>
                <w:sz w:val="24"/>
                <w:highlight w:val="none"/>
              </w:rPr>
            </w:pPr>
            <w:r>
              <w:rPr>
                <w:rFonts w:hint="eastAsia" w:ascii="宋体" w:hAnsi="宋体" w:cs="宋体"/>
                <w:sz w:val="24"/>
                <w:highlight w:val="none"/>
              </w:rPr>
              <w:t>序号</w:t>
            </w:r>
          </w:p>
        </w:tc>
        <w:tc>
          <w:tcPr>
            <w:tcW w:w="1622" w:type="dxa"/>
            <w:noWrap/>
            <w:vAlign w:val="center"/>
          </w:tcPr>
          <w:p w14:paraId="691B2E38">
            <w:pPr>
              <w:spacing w:line="440" w:lineRule="exact"/>
              <w:jc w:val="center"/>
              <w:rPr>
                <w:rFonts w:ascii="宋体" w:hAnsi="宋体" w:cs="宋体"/>
                <w:sz w:val="24"/>
                <w:highlight w:val="none"/>
              </w:rPr>
            </w:pPr>
            <w:r>
              <w:rPr>
                <w:rFonts w:hint="eastAsia" w:ascii="宋体" w:hAnsi="宋体" w:cs="宋体"/>
                <w:sz w:val="24"/>
                <w:highlight w:val="none"/>
              </w:rPr>
              <w:t>包号</w:t>
            </w:r>
          </w:p>
        </w:tc>
        <w:tc>
          <w:tcPr>
            <w:tcW w:w="3372" w:type="dxa"/>
            <w:noWrap/>
            <w:vAlign w:val="center"/>
          </w:tcPr>
          <w:p w14:paraId="35E3AD6C">
            <w:pPr>
              <w:spacing w:line="440" w:lineRule="exact"/>
              <w:jc w:val="center"/>
              <w:rPr>
                <w:rFonts w:ascii="宋体" w:hAnsi="宋体" w:cs="宋体"/>
                <w:sz w:val="24"/>
                <w:highlight w:val="none"/>
              </w:rPr>
            </w:pPr>
            <w:r>
              <w:rPr>
                <w:rFonts w:hint="eastAsia" w:ascii="宋体" w:hAnsi="宋体" w:cs="宋体"/>
                <w:sz w:val="24"/>
                <w:highlight w:val="none"/>
              </w:rPr>
              <w:t>包名称</w:t>
            </w:r>
          </w:p>
        </w:tc>
        <w:tc>
          <w:tcPr>
            <w:tcW w:w="1640" w:type="dxa"/>
            <w:noWrap/>
            <w:vAlign w:val="center"/>
          </w:tcPr>
          <w:p w14:paraId="1EDB5628">
            <w:pPr>
              <w:spacing w:line="440" w:lineRule="exact"/>
              <w:jc w:val="center"/>
              <w:rPr>
                <w:rFonts w:ascii="宋体" w:hAnsi="宋体" w:cs="宋体"/>
                <w:sz w:val="24"/>
                <w:highlight w:val="none"/>
              </w:rPr>
            </w:pPr>
            <w:r>
              <w:rPr>
                <w:rFonts w:hint="eastAsia" w:ascii="宋体" w:hAnsi="宋体" w:cs="宋体"/>
                <w:sz w:val="24"/>
                <w:highlight w:val="none"/>
              </w:rPr>
              <w:t>包预算（元）</w:t>
            </w:r>
          </w:p>
        </w:tc>
        <w:tc>
          <w:tcPr>
            <w:tcW w:w="1866" w:type="dxa"/>
            <w:noWrap/>
            <w:vAlign w:val="center"/>
          </w:tcPr>
          <w:p w14:paraId="338CC07C">
            <w:pPr>
              <w:spacing w:line="440" w:lineRule="exact"/>
              <w:jc w:val="center"/>
              <w:rPr>
                <w:rFonts w:ascii="宋体" w:hAnsi="宋体" w:cs="宋体"/>
                <w:sz w:val="24"/>
                <w:highlight w:val="none"/>
              </w:rPr>
            </w:pPr>
            <w:r>
              <w:rPr>
                <w:rFonts w:hint="eastAsia" w:ascii="宋体" w:hAnsi="宋体" w:cs="宋体"/>
                <w:sz w:val="24"/>
                <w:highlight w:val="none"/>
              </w:rPr>
              <w:t>包最高限价（元）</w:t>
            </w:r>
          </w:p>
        </w:tc>
      </w:tr>
      <w:tr w14:paraId="594E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ign w:val="center"/>
          </w:tcPr>
          <w:p w14:paraId="166E3701">
            <w:pPr>
              <w:spacing w:line="440" w:lineRule="exact"/>
              <w:jc w:val="center"/>
              <w:rPr>
                <w:rFonts w:ascii="宋体" w:hAnsi="宋体" w:cs="宋体"/>
                <w:sz w:val="24"/>
                <w:highlight w:val="none"/>
              </w:rPr>
            </w:pPr>
            <w:r>
              <w:rPr>
                <w:rFonts w:hint="eastAsia" w:ascii="宋体" w:hAnsi="宋体" w:cs="宋体"/>
                <w:b/>
                <w:bCs/>
                <w:sz w:val="24"/>
                <w:highlight w:val="none"/>
              </w:rPr>
              <w:t>1</w:t>
            </w:r>
          </w:p>
        </w:tc>
        <w:tc>
          <w:tcPr>
            <w:tcW w:w="1622" w:type="dxa"/>
            <w:noWrap/>
            <w:vAlign w:val="center"/>
          </w:tcPr>
          <w:p w14:paraId="1120B183">
            <w:pPr>
              <w:spacing w:line="440" w:lineRule="exact"/>
              <w:jc w:val="center"/>
              <w:rPr>
                <w:rFonts w:ascii="宋体" w:hAnsi="宋体" w:cs="宋体"/>
                <w:sz w:val="24"/>
                <w:highlight w:val="none"/>
              </w:rPr>
            </w:pPr>
            <w:r>
              <w:rPr>
                <w:rFonts w:hint="eastAsia" w:ascii="宋体" w:hAnsi="宋体" w:cs="宋体"/>
                <w:sz w:val="24"/>
                <w:highlight w:val="none"/>
              </w:rPr>
              <w:t>平公资采2025</w:t>
            </w:r>
            <w:r>
              <w:rPr>
                <w:rFonts w:hint="eastAsia" w:ascii="宋体" w:hAnsi="宋体" w:cs="宋体"/>
                <w:sz w:val="24"/>
                <w:highlight w:val="none"/>
                <w:lang w:val="en-US" w:eastAsia="zh-CN"/>
              </w:rPr>
              <w:t>1070</w:t>
            </w:r>
            <w:r>
              <w:rPr>
                <w:rFonts w:hint="eastAsia" w:ascii="宋体" w:hAnsi="宋体" w:cs="宋体"/>
                <w:sz w:val="24"/>
                <w:highlight w:val="none"/>
              </w:rPr>
              <w:t>号-1</w:t>
            </w:r>
          </w:p>
        </w:tc>
        <w:tc>
          <w:tcPr>
            <w:tcW w:w="3372" w:type="dxa"/>
            <w:noWrap/>
            <w:vAlign w:val="center"/>
          </w:tcPr>
          <w:p w14:paraId="60FABB40">
            <w:pPr>
              <w:spacing w:line="440" w:lineRule="exact"/>
              <w:jc w:val="center"/>
              <w:rPr>
                <w:rFonts w:ascii="宋体" w:hAnsi="宋体" w:cs="宋体"/>
                <w:sz w:val="24"/>
                <w:highlight w:val="none"/>
              </w:rPr>
            </w:pPr>
            <w:r>
              <w:rPr>
                <w:rFonts w:hint="eastAsia" w:ascii="宋体" w:hAnsi="宋体" w:cs="宋体"/>
                <w:sz w:val="24"/>
                <w:highlight w:val="none"/>
              </w:rPr>
              <w:t>叶县公安局执法办案中心设备采购项目</w:t>
            </w:r>
          </w:p>
        </w:tc>
        <w:tc>
          <w:tcPr>
            <w:tcW w:w="1640" w:type="dxa"/>
            <w:noWrap/>
            <w:vAlign w:val="center"/>
          </w:tcPr>
          <w:p w14:paraId="14DD8CB6">
            <w:pPr>
              <w:spacing w:line="440" w:lineRule="exact"/>
              <w:jc w:val="center"/>
              <w:rPr>
                <w:rFonts w:ascii="宋体" w:hAnsi="宋体" w:cs="宋体"/>
                <w:sz w:val="24"/>
                <w:highlight w:val="none"/>
              </w:rPr>
            </w:pPr>
            <w:r>
              <w:rPr>
                <w:rFonts w:hint="eastAsia" w:ascii="宋体" w:hAnsi="宋体" w:cs="宋体"/>
                <w:sz w:val="24"/>
                <w:highlight w:val="none"/>
              </w:rPr>
              <w:t>6110000</w:t>
            </w:r>
          </w:p>
        </w:tc>
        <w:tc>
          <w:tcPr>
            <w:tcW w:w="1866" w:type="dxa"/>
            <w:noWrap/>
            <w:vAlign w:val="center"/>
          </w:tcPr>
          <w:p w14:paraId="6D5F4DCA">
            <w:pPr>
              <w:spacing w:line="440" w:lineRule="exact"/>
              <w:jc w:val="center"/>
              <w:rPr>
                <w:rFonts w:ascii="宋体" w:hAnsi="宋体" w:cs="宋体"/>
                <w:sz w:val="24"/>
                <w:highlight w:val="none"/>
              </w:rPr>
            </w:pPr>
            <w:r>
              <w:rPr>
                <w:rFonts w:hint="eastAsia" w:ascii="宋体" w:hAnsi="宋体" w:cs="宋体"/>
                <w:sz w:val="24"/>
                <w:highlight w:val="none"/>
              </w:rPr>
              <w:t>6110000</w:t>
            </w:r>
          </w:p>
        </w:tc>
      </w:tr>
    </w:tbl>
    <w:p w14:paraId="643A4C9B">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5、（包括但不限于标的的名称、数量、简要技术需求或服务要求等）</w:t>
      </w:r>
    </w:p>
    <w:p w14:paraId="03862AF1">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5.1招标范围：包括LED显示屏、录音录像设备、视频定位设备、门禁设备、对讲系统、采集仪、人脸识别终端、应用服务器、交换机、智能一体化询问设备、管理系统等设备的采购安装、集成及售后服务等，具体内容详见招标文件。</w:t>
      </w:r>
    </w:p>
    <w:p w14:paraId="4EA9644A">
      <w:pPr>
        <w:spacing w:line="380" w:lineRule="exact"/>
        <w:ind w:firstLine="480" w:firstLineChars="200"/>
        <w:jc w:val="left"/>
        <w:rPr>
          <w:rFonts w:ascii="宋体" w:hAnsi="宋体" w:cs="宋体"/>
          <w:sz w:val="24"/>
          <w:highlight w:val="none"/>
        </w:rPr>
      </w:pPr>
      <w:r>
        <w:rPr>
          <w:rFonts w:hint="eastAsia" w:ascii="宋体" w:hAnsi="宋体" w:cs="宋体"/>
          <w:sz w:val="24"/>
          <w:highlight w:val="none"/>
        </w:rPr>
        <w:t>5.2资金来源：财政资金,已落实；</w:t>
      </w:r>
    </w:p>
    <w:p w14:paraId="73A7675A">
      <w:pPr>
        <w:spacing w:line="500" w:lineRule="exact"/>
        <w:ind w:firstLine="480" w:firstLineChars="200"/>
        <w:jc w:val="left"/>
        <w:rPr>
          <w:rFonts w:hint="eastAsia" w:ascii="宋体" w:hAnsi="宋体" w:cs="宋体"/>
          <w:sz w:val="24"/>
          <w:highlight w:val="none"/>
        </w:rPr>
      </w:pPr>
      <w:r>
        <w:rPr>
          <w:rFonts w:hint="eastAsia" w:ascii="宋体" w:hAnsi="宋体" w:cs="宋体"/>
          <w:sz w:val="24"/>
          <w:highlight w:val="none"/>
        </w:rPr>
        <w:t>5.3</w:t>
      </w:r>
      <w:r>
        <w:rPr>
          <w:rFonts w:hint="eastAsia" w:ascii="宋体" w:hAnsi="宋体" w:cs="宋体"/>
          <w:sz w:val="24"/>
          <w:highlight w:val="none"/>
          <w:lang w:val="en-US" w:eastAsia="zh-CN"/>
        </w:rPr>
        <w:t>供货期</w:t>
      </w:r>
      <w:r>
        <w:rPr>
          <w:rFonts w:hint="eastAsia" w:ascii="宋体" w:hAnsi="宋体" w:cs="宋体"/>
          <w:sz w:val="24"/>
          <w:highlight w:val="none"/>
        </w:rPr>
        <w:t>：90日历天内供货安装完毕。</w:t>
      </w:r>
    </w:p>
    <w:p w14:paraId="7B6682F6">
      <w:pPr>
        <w:spacing w:line="500" w:lineRule="exact"/>
        <w:ind w:firstLine="480" w:firstLineChars="200"/>
        <w:jc w:val="left"/>
        <w:rPr>
          <w:rFonts w:hint="eastAsia" w:ascii="宋体" w:hAnsi="宋体" w:cs="宋体"/>
          <w:sz w:val="24"/>
          <w:highlight w:val="none"/>
          <w:lang w:val="en-US" w:eastAsia="zh-CN"/>
        </w:rPr>
      </w:pPr>
      <w:r>
        <w:rPr>
          <w:rFonts w:hint="eastAsia" w:ascii="宋体" w:hAnsi="宋体" w:cs="宋体"/>
          <w:sz w:val="24"/>
          <w:highlight w:val="none"/>
        </w:rPr>
        <w:t>5.4</w:t>
      </w:r>
      <w:r>
        <w:rPr>
          <w:rFonts w:hint="eastAsia" w:ascii="宋体" w:hAnsi="宋体" w:cs="宋体"/>
          <w:sz w:val="24"/>
          <w:highlight w:val="none"/>
          <w:lang w:val="en-US" w:eastAsia="zh-CN"/>
        </w:rPr>
        <w:t>质量要求：合格，符合国家和行业现行标准规定</w:t>
      </w:r>
    </w:p>
    <w:p w14:paraId="1080A7D1">
      <w:pPr>
        <w:spacing w:line="500" w:lineRule="exact"/>
        <w:ind w:firstLine="480" w:firstLineChars="200"/>
        <w:jc w:val="left"/>
        <w:rPr>
          <w:rFonts w:hint="default" w:ascii="宋体" w:hAnsi="宋体" w:cs="宋体"/>
          <w:sz w:val="24"/>
          <w:highlight w:val="none"/>
          <w:lang w:val="en-US" w:eastAsia="zh-CN"/>
        </w:rPr>
      </w:pPr>
      <w:r>
        <w:rPr>
          <w:rFonts w:hint="eastAsia" w:ascii="宋体" w:hAnsi="宋体" w:cs="宋体"/>
          <w:sz w:val="24"/>
          <w:highlight w:val="none"/>
          <w:lang w:val="en-US" w:eastAsia="zh-CN"/>
        </w:rPr>
        <w:t>5.5质保期：3年</w:t>
      </w:r>
    </w:p>
    <w:p w14:paraId="10092836">
      <w:pPr>
        <w:spacing w:line="500" w:lineRule="exact"/>
        <w:ind w:firstLine="480" w:firstLineChars="200"/>
        <w:jc w:val="left"/>
        <w:rPr>
          <w:rFonts w:hint="eastAsia" w:ascii="宋体" w:hAnsi="宋体" w:cs="宋体"/>
          <w:sz w:val="24"/>
          <w:highlight w:val="none"/>
        </w:rPr>
      </w:pPr>
      <w:r>
        <w:rPr>
          <w:rFonts w:hint="eastAsia" w:ascii="宋体" w:hAnsi="宋体" w:cs="宋体"/>
          <w:sz w:val="24"/>
          <w:highlight w:val="none"/>
        </w:rPr>
        <w:t>5.6项目地点：采购人指定地点。</w:t>
      </w:r>
    </w:p>
    <w:p w14:paraId="3BDC4314">
      <w:pPr>
        <w:spacing w:line="500" w:lineRule="exact"/>
        <w:ind w:firstLine="480" w:firstLineChars="200"/>
        <w:jc w:val="left"/>
        <w:rPr>
          <w:rStyle w:val="33"/>
          <w:rFonts w:ascii="宋体" w:hAnsi="宋体" w:cs="宋体"/>
          <w:sz w:val="24"/>
          <w:highlight w:val="none"/>
        </w:rPr>
      </w:pPr>
      <w:r>
        <w:rPr>
          <w:rFonts w:hint="eastAsia" w:ascii="宋体" w:hAnsi="宋体" w:cs="宋体"/>
          <w:sz w:val="24"/>
          <w:highlight w:val="none"/>
        </w:rPr>
        <w:t>5.7标段划分：1个标段</w:t>
      </w:r>
    </w:p>
    <w:p w14:paraId="3BDE70A0">
      <w:pPr>
        <w:spacing w:line="380" w:lineRule="exact"/>
        <w:ind w:firstLine="480" w:firstLineChars="200"/>
        <w:jc w:val="left"/>
        <w:rPr>
          <w:rStyle w:val="33"/>
          <w:rFonts w:ascii="宋体" w:hAnsi="宋体" w:cs="宋体"/>
          <w:sz w:val="24"/>
          <w:highlight w:val="none"/>
        </w:rPr>
      </w:pPr>
      <w:r>
        <w:rPr>
          <w:rFonts w:hint="eastAsia" w:ascii="宋体" w:hAnsi="宋体" w:cs="宋体"/>
          <w:sz w:val="24"/>
          <w:highlight w:val="none"/>
        </w:rPr>
        <w:t>6、合同履行期限：</w:t>
      </w:r>
      <w:r>
        <w:rPr>
          <w:rFonts w:hint="eastAsia" w:ascii="宋体" w:hAnsi="宋体" w:cs="宋体"/>
          <w:bCs/>
          <w:spacing w:val="4"/>
          <w:sz w:val="24"/>
          <w:highlight w:val="none"/>
        </w:rPr>
        <w:t>同</w:t>
      </w:r>
      <w:r>
        <w:rPr>
          <w:rFonts w:hint="eastAsia" w:ascii="宋体" w:hAnsi="宋体" w:cs="宋体"/>
          <w:bCs/>
          <w:spacing w:val="4"/>
          <w:sz w:val="24"/>
          <w:highlight w:val="none"/>
          <w:lang w:val="en-US" w:eastAsia="zh-CN"/>
        </w:rPr>
        <w:t>供货期</w:t>
      </w:r>
      <w:r>
        <w:rPr>
          <w:rFonts w:hint="eastAsia" w:ascii="宋体" w:hAnsi="宋体" w:cs="宋体"/>
          <w:bCs/>
          <w:spacing w:val="4"/>
          <w:sz w:val="24"/>
          <w:highlight w:val="none"/>
        </w:rPr>
        <w:t>。</w:t>
      </w:r>
    </w:p>
    <w:p w14:paraId="2A0D4AB7">
      <w:pPr>
        <w:spacing w:line="380" w:lineRule="exact"/>
        <w:ind w:firstLine="480" w:firstLineChars="200"/>
        <w:jc w:val="left"/>
        <w:rPr>
          <w:rFonts w:ascii="宋体" w:hAnsi="宋体" w:cs="宋体"/>
          <w:sz w:val="24"/>
          <w:highlight w:val="none"/>
        </w:rPr>
      </w:pPr>
      <w:r>
        <w:rPr>
          <w:rFonts w:hint="eastAsia" w:ascii="宋体" w:hAnsi="宋体" w:cs="宋体"/>
          <w:sz w:val="24"/>
          <w:highlight w:val="none"/>
        </w:rPr>
        <w:t>7、本项目是否接受联合体投标：否；</w:t>
      </w:r>
    </w:p>
    <w:p w14:paraId="06BC4672">
      <w:pPr>
        <w:spacing w:line="380" w:lineRule="exact"/>
        <w:ind w:firstLine="480" w:firstLineChars="200"/>
        <w:jc w:val="left"/>
        <w:rPr>
          <w:rFonts w:ascii="宋体" w:hAnsi="宋体" w:cs="宋体"/>
          <w:sz w:val="24"/>
          <w:highlight w:val="none"/>
        </w:rPr>
      </w:pPr>
      <w:r>
        <w:rPr>
          <w:rFonts w:hint="eastAsia" w:ascii="宋体" w:hAnsi="宋体" w:cs="宋体"/>
          <w:sz w:val="24"/>
          <w:highlight w:val="none"/>
        </w:rPr>
        <w:t>8、是否接受进口产品：否；</w:t>
      </w:r>
    </w:p>
    <w:p w14:paraId="4BFBC6F3">
      <w:pPr>
        <w:spacing w:line="380" w:lineRule="exact"/>
        <w:ind w:firstLine="480" w:firstLineChars="200"/>
        <w:jc w:val="left"/>
        <w:rPr>
          <w:rFonts w:ascii="宋体" w:hAnsi="宋体" w:cs="宋体"/>
          <w:sz w:val="24"/>
          <w:highlight w:val="none"/>
        </w:rPr>
      </w:pPr>
      <w:r>
        <w:rPr>
          <w:rFonts w:hint="eastAsia" w:ascii="宋体" w:hAnsi="宋体" w:cs="宋体"/>
          <w:sz w:val="24"/>
          <w:highlight w:val="none"/>
        </w:rPr>
        <w:t>9、是否专门面向中小企业：否；</w:t>
      </w:r>
    </w:p>
    <w:p w14:paraId="445800A7">
      <w:pPr>
        <w:spacing w:line="380" w:lineRule="exact"/>
        <w:jc w:val="left"/>
        <w:rPr>
          <w:rFonts w:ascii="宋体" w:hAnsi="宋体" w:cs="宋体"/>
          <w:sz w:val="24"/>
          <w:highlight w:val="none"/>
        </w:rPr>
      </w:pPr>
      <w:r>
        <w:rPr>
          <w:rFonts w:hint="eastAsia" w:ascii="宋体" w:hAnsi="宋体" w:cs="宋体"/>
          <w:b/>
          <w:bCs/>
          <w:sz w:val="24"/>
          <w:highlight w:val="none"/>
        </w:rPr>
        <w:t>二、申请人资格要求：</w:t>
      </w:r>
    </w:p>
    <w:p w14:paraId="1049780F">
      <w:pPr>
        <w:spacing w:line="44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1.满足《中华人民共和国政府采购法》第二十二条规定；</w:t>
      </w:r>
    </w:p>
    <w:p w14:paraId="681F5084">
      <w:pPr>
        <w:spacing w:line="44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 xml:space="preserve">2.落实政府采购政策需满足的资格要求：本项目非专门面向中小企业采购，落实中小企业发展，支持节能环保政策，扶持监狱、残疾人福利性单位等政府采购政策。 </w:t>
      </w:r>
    </w:p>
    <w:p w14:paraId="3BEC21EB">
      <w:pPr>
        <w:spacing w:line="44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3.本项目的特定资格要求：</w:t>
      </w:r>
    </w:p>
    <w:p w14:paraId="28792EE0">
      <w:pPr>
        <w:spacing w:line="440" w:lineRule="exact"/>
        <w:ind w:firstLine="480" w:firstLineChars="200"/>
        <w:jc w:val="left"/>
        <w:rPr>
          <w:rStyle w:val="33"/>
          <w:rFonts w:ascii="宋体" w:hAnsi="宋体" w:cs="宋体"/>
          <w:sz w:val="24"/>
          <w:highlight w:val="none"/>
          <w:lang w:val="zh-CN"/>
        </w:rPr>
      </w:pPr>
      <w:r>
        <w:rPr>
          <w:rStyle w:val="33"/>
          <w:rFonts w:hint="eastAsia" w:ascii="宋体" w:hAnsi="宋体" w:cs="宋体"/>
          <w:sz w:val="24"/>
          <w:highlight w:val="none"/>
          <w:lang w:val="zh-CN"/>
        </w:rPr>
        <w:t>3.1</w:t>
      </w:r>
      <w:r>
        <w:rPr>
          <w:rFonts w:hint="eastAsia" w:ascii="宋体" w:hAnsi="宋体" w:cs="宋体"/>
          <w:sz w:val="24"/>
          <w:highlight w:val="none"/>
        </w:rPr>
        <w:t>供应商具有独立承担民事责任的能力</w:t>
      </w:r>
      <w:r>
        <w:rPr>
          <w:rStyle w:val="33"/>
          <w:rFonts w:hint="eastAsia" w:ascii="宋体" w:hAnsi="宋体" w:cs="宋体"/>
          <w:sz w:val="24"/>
          <w:highlight w:val="none"/>
          <w:lang w:val="zh-CN"/>
        </w:rPr>
        <w:t>（提供有效的营业执照、税务登记证、组织机构代码证或三证合一营业执照，也可提供电子营业执照）；</w:t>
      </w:r>
    </w:p>
    <w:p w14:paraId="67FE5722">
      <w:pPr>
        <w:spacing w:line="440" w:lineRule="exact"/>
        <w:ind w:right="-199" w:rightChars="-95" w:firstLine="480" w:firstLineChars="200"/>
        <w:jc w:val="left"/>
        <w:rPr>
          <w:rStyle w:val="33"/>
          <w:rFonts w:ascii="宋体" w:hAnsi="宋体" w:cs="宋体"/>
          <w:sz w:val="24"/>
          <w:highlight w:val="none"/>
        </w:rPr>
      </w:pPr>
      <w:r>
        <w:rPr>
          <w:rFonts w:hint="eastAsia" w:ascii="宋体" w:hAnsi="宋体" w:cs="宋体"/>
          <w:sz w:val="24"/>
          <w:highlight w:val="none"/>
        </w:rPr>
        <w:t>3.2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在本次招标活动中，投标人只需提供政府采购供应商信用承诺书（格式详见招标文件），不再需要提供以下证明材料：</w:t>
      </w:r>
    </w:p>
    <w:p w14:paraId="4C8A0ADE">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（1）具有独立承担民事责任的能力；</w:t>
      </w:r>
    </w:p>
    <w:p w14:paraId="16F3D45F">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（2）具有良好的商业信誉和健全的财务会计制度；</w:t>
      </w:r>
    </w:p>
    <w:p w14:paraId="566F862C">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（3）具有履行合同所必需的设备和专业技术能力；</w:t>
      </w:r>
    </w:p>
    <w:p w14:paraId="39522CC7">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（4）有依法缴纳税收和社会保障资金的良好记录；</w:t>
      </w:r>
    </w:p>
    <w:p w14:paraId="202EA0C2">
      <w:pPr>
        <w:spacing w:line="500" w:lineRule="exact"/>
        <w:ind w:firstLine="480" w:firstLineChars="200"/>
        <w:jc w:val="left"/>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14:paraId="5E73368E">
      <w:pPr>
        <w:spacing w:line="440" w:lineRule="exact"/>
        <w:ind w:right="-199" w:rightChars="-95" w:firstLine="480" w:firstLineChars="200"/>
        <w:jc w:val="left"/>
        <w:rPr>
          <w:rStyle w:val="33"/>
          <w:rFonts w:ascii="宋体" w:hAnsi="宋体" w:cs="宋体"/>
          <w:sz w:val="24"/>
          <w:highlight w:val="none"/>
        </w:rPr>
      </w:pPr>
      <w:r>
        <w:rPr>
          <w:rFonts w:hint="eastAsia" w:ascii="宋体" w:hAnsi="宋体" w:cs="宋体"/>
          <w:sz w:val="24"/>
          <w:highlight w:val="none"/>
        </w:rPr>
        <w:t>（6）法律、行政法规规定的其他条件。</w:t>
      </w:r>
    </w:p>
    <w:p w14:paraId="135736AB">
      <w:pPr>
        <w:spacing w:line="380" w:lineRule="exact"/>
        <w:ind w:right="-199" w:rightChars="-95" w:firstLine="480" w:firstLineChars="200"/>
        <w:jc w:val="left"/>
        <w:rPr>
          <w:rStyle w:val="33"/>
          <w:rFonts w:ascii="宋体" w:hAnsi="宋体" w:cs="宋体"/>
          <w:sz w:val="24"/>
          <w:highlight w:val="none"/>
        </w:rPr>
      </w:pPr>
      <w:r>
        <w:rPr>
          <w:rStyle w:val="33"/>
          <w:rFonts w:hint="eastAsia" w:ascii="宋体" w:hAnsi="宋体" w:cs="宋体"/>
          <w:sz w:val="24"/>
          <w:highlight w:val="none"/>
        </w:rPr>
        <w:t>3.3</w:t>
      </w:r>
      <w:r>
        <w:rPr>
          <w:rFonts w:hint="eastAsia" w:ascii="宋体" w:hAnsi="宋体" w:cs="宋体"/>
          <w:bCs/>
          <w:sz w:val="24"/>
          <w:highlight w:val="none"/>
        </w:rPr>
        <w:t>供应商未被列入“中国执行信息公开网”网站的“失信被执行人”、“信用中国”网站“重大税收违法失信主体”、“ 中国政府采购网” 网站的“政府采购严重违法失信行为名单”，</w:t>
      </w:r>
      <w:r>
        <w:rPr>
          <w:rFonts w:hint="eastAsia" w:ascii="宋体" w:hAnsi="宋体" w:cs="宋体"/>
          <w:sz w:val="24"/>
          <w:highlight w:val="none"/>
        </w:rPr>
        <w:t>按照财库〔2016〕125号文。采购人、代理机构在开标时通过“中国执行信息公开网”“信用中国”及“中国政府采购网”查询供应商信用情况，如有不良情况，按无效标处理</w:t>
      </w:r>
      <w:r>
        <w:rPr>
          <w:rFonts w:hint="eastAsia" w:ascii="宋体" w:hAnsi="宋体" w:cs="宋体"/>
          <w:bCs/>
          <w:sz w:val="24"/>
          <w:highlight w:val="none"/>
        </w:rPr>
        <w:t>。供应商也可自行将查询结果页面截图附投标文件中。</w:t>
      </w:r>
    </w:p>
    <w:p w14:paraId="01F3D50E">
      <w:pPr>
        <w:spacing w:line="440" w:lineRule="exact"/>
        <w:ind w:right="-199" w:rightChars="-95" w:firstLine="480" w:firstLineChars="200"/>
        <w:jc w:val="left"/>
        <w:rPr>
          <w:rStyle w:val="33"/>
          <w:rFonts w:ascii="宋体" w:hAnsi="宋体" w:cs="宋体"/>
          <w:sz w:val="24"/>
          <w:highlight w:val="none"/>
        </w:rPr>
      </w:pPr>
      <w:r>
        <w:rPr>
          <w:rStyle w:val="33"/>
          <w:rFonts w:hint="eastAsia" w:ascii="宋体" w:hAnsi="宋体" w:cs="宋体"/>
          <w:sz w:val="24"/>
          <w:highlight w:val="none"/>
        </w:rPr>
        <w:t>3.4 单位负责人为同一人或者存在直接控股、管理关系的不同供应商，不得同时参加同一合同项目下的政府采购活动（提供承诺函，格式自拟）。</w:t>
      </w:r>
    </w:p>
    <w:p w14:paraId="47D5CC4D">
      <w:pPr>
        <w:spacing w:line="44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3.5 供应商应保证投标期间提供的所有资料真实有效，并愿意承担因弄虚作假所引起的一切法律后果（提供承诺函，格式自拟）。</w:t>
      </w:r>
    </w:p>
    <w:p w14:paraId="735E8B2C">
      <w:pPr>
        <w:spacing w:line="440" w:lineRule="exact"/>
        <w:ind w:firstLine="480" w:firstLineChars="200"/>
        <w:jc w:val="left"/>
        <w:rPr>
          <w:rStyle w:val="33"/>
          <w:rFonts w:ascii="宋体" w:hAnsi="宋体" w:cs="宋体"/>
          <w:sz w:val="24"/>
          <w:highlight w:val="none"/>
          <w:lang w:val="zh-CN"/>
        </w:rPr>
      </w:pPr>
      <w:r>
        <w:rPr>
          <w:rStyle w:val="33"/>
          <w:rFonts w:hint="eastAsia" w:ascii="宋体" w:hAnsi="宋体" w:cs="宋体"/>
          <w:sz w:val="24"/>
          <w:highlight w:val="none"/>
          <w:lang w:val="zh-CN"/>
        </w:rPr>
        <w:t>注：</w:t>
      </w:r>
      <w:r>
        <w:rPr>
          <w:rStyle w:val="33"/>
          <w:rFonts w:hint="eastAsia" w:ascii="宋体" w:hAnsi="宋体" w:cs="宋体"/>
          <w:sz w:val="24"/>
          <w:highlight w:val="none"/>
        </w:rPr>
        <w:t>1.</w:t>
      </w:r>
      <w:r>
        <w:rPr>
          <w:rStyle w:val="33"/>
          <w:rFonts w:hint="eastAsia" w:ascii="宋体" w:hAnsi="宋体" w:cs="宋体"/>
          <w:sz w:val="24"/>
          <w:highlight w:val="none"/>
          <w:lang w:val="zh-CN"/>
        </w:rPr>
        <w:t>如供应商为新成立企业，可提供注册后的相关证明材料。</w:t>
      </w:r>
    </w:p>
    <w:p w14:paraId="6A800CC6">
      <w:pPr>
        <w:spacing w:line="440" w:lineRule="exact"/>
        <w:ind w:firstLine="480" w:firstLineChars="200"/>
        <w:jc w:val="left"/>
        <w:rPr>
          <w:rStyle w:val="33"/>
          <w:rFonts w:ascii="宋体" w:hAnsi="宋体" w:cs="宋体"/>
          <w:sz w:val="24"/>
          <w:highlight w:val="none"/>
          <w:lang w:val="zh-CN"/>
        </w:rPr>
      </w:pPr>
      <w:r>
        <w:rPr>
          <w:rStyle w:val="33"/>
          <w:rFonts w:hint="eastAsia" w:ascii="宋体" w:hAnsi="宋体" w:cs="宋体"/>
          <w:sz w:val="24"/>
          <w:highlight w:val="none"/>
        </w:rPr>
        <w:t>2.</w:t>
      </w:r>
      <w:r>
        <w:rPr>
          <w:rStyle w:val="33"/>
          <w:rFonts w:hint="eastAsia" w:ascii="宋体" w:hAnsi="宋体" w:cs="宋体"/>
          <w:sz w:val="24"/>
          <w:highlight w:val="none"/>
          <w:lang w:val="zh-CN"/>
        </w:rPr>
        <w:t>本项目不接受联合体投标，审查方式采用资格后审。</w:t>
      </w:r>
    </w:p>
    <w:p w14:paraId="15CE6ABA">
      <w:pPr>
        <w:spacing w:line="44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3.</w:t>
      </w:r>
      <w:r>
        <w:rPr>
          <w:rFonts w:hint="eastAsia" w:ascii="宋体" w:hAnsi="宋体" w:cs="宋体"/>
          <w:sz w:val="24"/>
          <w:highlight w:val="none"/>
        </w:rPr>
        <w:t>采购人有权在签订合同前要求中标供应商提供相关证明材料以核实中标供应商承诺事项的真实性。</w:t>
      </w:r>
    </w:p>
    <w:p w14:paraId="7FA499C9">
      <w:pPr>
        <w:widowControl/>
        <w:spacing w:line="380" w:lineRule="exact"/>
        <w:ind w:right="79"/>
        <w:rPr>
          <w:rFonts w:ascii="宋体" w:hAnsi="宋体" w:cs="宋体"/>
          <w:highlight w:val="none"/>
          <w:lang w:val="zh-CN"/>
        </w:rPr>
      </w:pPr>
      <w:r>
        <w:rPr>
          <w:rFonts w:hint="eastAsia" w:ascii="宋体" w:hAnsi="宋体" w:cs="宋体"/>
          <w:b/>
          <w:sz w:val="24"/>
          <w:highlight w:val="none"/>
          <w:shd w:val="clear" w:color="auto" w:fill="FFFFFF"/>
        </w:rPr>
        <w:t>三、获取招标文件:</w:t>
      </w:r>
    </w:p>
    <w:p w14:paraId="746643EC">
      <w:pPr>
        <w:spacing w:line="380" w:lineRule="exact"/>
        <w:ind w:firstLine="240" w:firstLineChars="100"/>
        <w:rPr>
          <w:rFonts w:ascii="宋体" w:hAnsi="宋体" w:cs="宋体"/>
          <w:sz w:val="24"/>
          <w:highlight w:val="none"/>
          <w:shd w:val="clear" w:color="auto" w:fill="FFFFFF"/>
        </w:rPr>
      </w:pPr>
      <w:r>
        <w:rPr>
          <w:rFonts w:hint="eastAsia" w:ascii="宋体" w:hAnsi="宋体" w:cs="宋体"/>
          <w:sz w:val="24"/>
          <w:highlight w:val="none"/>
          <w:shd w:val="clear" w:color="auto" w:fill="FFFFFF"/>
        </w:rPr>
        <w:t>1.时间：2025年</w:t>
      </w:r>
      <w:r>
        <w:rPr>
          <w:rFonts w:hint="eastAsia" w:ascii="宋体" w:hAnsi="宋体" w:cs="宋体"/>
          <w:sz w:val="24"/>
          <w:highlight w:val="none"/>
          <w:shd w:val="clear" w:color="auto" w:fill="FFFFFF"/>
          <w:lang w:val="en-US" w:eastAsia="zh-CN"/>
        </w:rPr>
        <w:t>11</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04</w:t>
      </w:r>
      <w:r>
        <w:rPr>
          <w:rFonts w:hint="eastAsia" w:ascii="宋体" w:hAnsi="宋体" w:cs="宋体"/>
          <w:sz w:val="24"/>
          <w:highlight w:val="none"/>
          <w:shd w:val="clear" w:color="auto" w:fill="FFFFFF"/>
        </w:rPr>
        <w:t>日至2025年</w:t>
      </w:r>
      <w:r>
        <w:rPr>
          <w:rFonts w:hint="eastAsia" w:ascii="宋体" w:hAnsi="宋体" w:cs="宋体"/>
          <w:sz w:val="24"/>
          <w:highlight w:val="none"/>
          <w:shd w:val="clear" w:color="auto" w:fill="FFFFFF"/>
          <w:lang w:val="en-US" w:eastAsia="zh-CN"/>
        </w:rPr>
        <w:t>11</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24</w:t>
      </w:r>
      <w:r>
        <w:rPr>
          <w:rFonts w:hint="eastAsia" w:ascii="宋体" w:hAnsi="宋体" w:cs="宋体"/>
          <w:sz w:val="24"/>
          <w:highlight w:val="none"/>
          <w:shd w:val="clear" w:color="auto" w:fill="FFFFFF"/>
        </w:rPr>
        <w:t>日，每天上午00:00至12:00，下午12:00至23:59（北京时间）</w:t>
      </w:r>
    </w:p>
    <w:p w14:paraId="3541DA85">
      <w:pPr>
        <w:spacing w:line="380" w:lineRule="exact"/>
        <w:ind w:right="-989" w:rightChars="-471" w:firstLine="240" w:firstLineChars="100"/>
        <w:jc w:val="left"/>
        <w:rPr>
          <w:rFonts w:ascii="宋体" w:hAnsi="宋体" w:cs="宋体"/>
          <w:sz w:val="24"/>
          <w:highlight w:val="none"/>
          <w:shd w:val="clear" w:color="auto" w:fill="FFFFFF"/>
        </w:rPr>
      </w:pPr>
      <w:r>
        <w:rPr>
          <w:rFonts w:hint="eastAsia" w:ascii="宋体" w:hAnsi="宋体" w:cs="宋体"/>
          <w:sz w:val="24"/>
          <w:highlight w:val="none"/>
          <w:shd w:val="clear" w:color="auto" w:fill="FFFFFF"/>
        </w:rPr>
        <w:t>2.地点：平顶山市公共资源交易中心网（网址：http://ggzy.pds.gov.cn/）。</w:t>
      </w:r>
    </w:p>
    <w:p w14:paraId="4EAF26A5">
      <w:pPr>
        <w:spacing w:line="380" w:lineRule="exact"/>
        <w:ind w:firstLine="240" w:firstLineChars="100"/>
        <w:jc w:val="left"/>
        <w:rPr>
          <w:rFonts w:ascii="宋体" w:hAnsi="宋体" w:cs="宋体"/>
          <w:spacing w:val="-2"/>
          <w:sz w:val="24"/>
          <w:highlight w:val="none"/>
        </w:rPr>
      </w:pPr>
      <w:r>
        <w:rPr>
          <w:rFonts w:hint="eastAsia" w:ascii="宋体" w:hAnsi="宋体" w:cs="宋体"/>
          <w:sz w:val="24"/>
          <w:highlight w:val="none"/>
          <w:shd w:val="clear" w:color="auto" w:fill="FFFFFF"/>
        </w:rPr>
        <w:t>3.方式：潜在投标人需凭CA数字证书通过全国公共资源交易平台（河南省·平顶山市）“交易主体登录”入口进入交易系统进行文件下载。具体操作请查看以下链接：</w:t>
      </w:r>
    </w:p>
    <w:p w14:paraId="2858FEFA">
      <w:pPr>
        <w:spacing w:line="380" w:lineRule="exact"/>
        <w:ind w:firstLine="240" w:firstLineChars="100"/>
        <w:jc w:val="left"/>
        <w:rPr>
          <w:rFonts w:ascii="宋体" w:hAnsi="宋体" w:cs="宋体"/>
          <w:spacing w:val="-2"/>
          <w:sz w:val="24"/>
          <w:highlight w:val="none"/>
        </w:rPr>
      </w:pPr>
      <w:r>
        <w:rPr>
          <w:rFonts w:hint="eastAsia" w:ascii="宋体" w:hAnsi="宋体" w:cs="宋体"/>
          <w:sz w:val="24"/>
          <w:highlight w:val="none"/>
          <w:shd w:val="clear" w:color="auto" w:fill="FFFFFF"/>
        </w:rPr>
        <w:t>链接地址：</w:t>
      </w:r>
      <w:r>
        <w:rPr>
          <w:rFonts w:hint="eastAsia" w:ascii="宋体" w:hAnsi="宋体" w:cs="宋体"/>
          <w:spacing w:val="-2"/>
          <w:sz w:val="24"/>
          <w:highlight w:val="none"/>
        </w:rPr>
        <w:t>http://ggzy.pds.gov.cn/fwzn/11020.jhtml</w:t>
      </w:r>
    </w:p>
    <w:p w14:paraId="4D7A3C10">
      <w:pPr>
        <w:spacing w:line="380" w:lineRule="exact"/>
        <w:ind w:firstLine="236" w:firstLineChars="100"/>
        <w:jc w:val="left"/>
        <w:rPr>
          <w:rFonts w:ascii="宋体" w:hAnsi="宋体" w:cs="宋体"/>
          <w:highlight w:val="none"/>
        </w:rPr>
      </w:pPr>
      <w:r>
        <w:rPr>
          <w:rFonts w:hint="eastAsia" w:ascii="宋体" w:hAnsi="宋体" w:cs="宋体"/>
          <w:spacing w:val="-2"/>
          <w:sz w:val="24"/>
          <w:highlight w:val="none"/>
        </w:rPr>
        <w:t>办理CA证书：http://ggzy.pds.gov.cn/tzgg/10814.jhtml。</w:t>
      </w:r>
    </w:p>
    <w:p w14:paraId="3CD4598C">
      <w:pPr>
        <w:spacing w:line="380" w:lineRule="exact"/>
        <w:ind w:firstLine="240" w:firstLineChars="100"/>
        <w:jc w:val="left"/>
        <w:rPr>
          <w:rFonts w:ascii="宋体" w:hAnsi="宋体" w:cs="宋体"/>
          <w:sz w:val="24"/>
          <w:highlight w:val="none"/>
          <w:shd w:val="clear" w:color="auto" w:fill="FFFFFF"/>
        </w:rPr>
      </w:pPr>
      <w:r>
        <w:rPr>
          <w:rFonts w:hint="eastAsia" w:ascii="宋体" w:hAnsi="宋体" w:cs="宋体"/>
          <w:bCs/>
          <w:kern w:val="0"/>
          <w:sz w:val="24"/>
          <w:highlight w:val="none"/>
        </w:rPr>
        <w:t>4.售价：0元。</w:t>
      </w:r>
    </w:p>
    <w:p w14:paraId="78B93178">
      <w:pPr>
        <w:spacing w:line="380" w:lineRule="exact"/>
        <w:rPr>
          <w:rFonts w:ascii="宋体" w:hAnsi="宋体" w:cs="宋体"/>
          <w:b/>
          <w:sz w:val="24"/>
          <w:highlight w:val="none"/>
        </w:rPr>
      </w:pPr>
      <w:r>
        <w:rPr>
          <w:rFonts w:hint="eastAsia" w:ascii="宋体" w:hAnsi="宋体" w:cs="宋体"/>
          <w:b/>
          <w:sz w:val="24"/>
          <w:highlight w:val="none"/>
        </w:rPr>
        <w:t>四、投标截止时间及地点：</w:t>
      </w:r>
    </w:p>
    <w:p w14:paraId="3246B6A7">
      <w:pPr>
        <w:spacing w:line="380" w:lineRule="exact"/>
        <w:ind w:firstLine="240" w:firstLineChars="100"/>
        <w:rPr>
          <w:rFonts w:ascii="宋体" w:hAnsi="宋体" w:cs="宋体"/>
          <w:bCs/>
          <w:sz w:val="24"/>
          <w:highlight w:val="none"/>
        </w:rPr>
      </w:pPr>
      <w:r>
        <w:rPr>
          <w:rFonts w:hint="eastAsia" w:ascii="宋体" w:hAnsi="宋体" w:cs="宋体"/>
          <w:bCs/>
          <w:sz w:val="24"/>
          <w:highlight w:val="none"/>
        </w:rPr>
        <w:t>1.时间：</w:t>
      </w:r>
      <w:r>
        <w:rPr>
          <w:rFonts w:hint="eastAsia" w:ascii="宋体" w:hAnsi="宋体" w:cs="宋体"/>
          <w:sz w:val="24"/>
          <w:highlight w:val="none"/>
        </w:rPr>
        <w:t>2025年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w:t>
      </w:r>
      <w:r>
        <w:rPr>
          <w:rFonts w:hint="eastAsia" w:ascii="宋体" w:hAnsi="宋体" w:cs="宋体"/>
          <w:kern w:val="0"/>
          <w:sz w:val="24"/>
          <w:highlight w:val="none"/>
          <w:shd w:val="clear" w:color="auto" w:fill="FFFFFF"/>
        </w:rPr>
        <w:t>08 时40分</w:t>
      </w:r>
      <w:r>
        <w:rPr>
          <w:rFonts w:hint="eastAsia" w:ascii="宋体" w:hAnsi="宋体" w:cs="宋体"/>
          <w:sz w:val="24"/>
          <w:highlight w:val="none"/>
          <w:shd w:val="clear" w:color="auto" w:fill="FFFFFF"/>
        </w:rPr>
        <w:t>（北京时间）。</w:t>
      </w:r>
    </w:p>
    <w:p w14:paraId="7819C69B">
      <w:pPr>
        <w:spacing w:line="380" w:lineRule="exact"/>
        <w:ind w:firstLine="240" w:firstLineChars="100"/>
        <w:rPr>
          <w:rFonts w:ascii="宋体" w:hAnsi="宋体" w:cs="宋体"/>
          <w:bCs/>
          <w:sz w:val="24"/>
          <w:highlight w:val="none"/>
        </w:rPr>
      </w:pPr>
      <w:r>
        <w:rPr>
          <w:rFonts w:hint="eastAsia" w:ascii="宋体" w:hAnsi="宋体" w:cs="宋体"/>
          <w:bCs/>
          <w:sz w:val="24"/>
          <w:highlight w:val="none"/>
        </w:rPr>
        <w:t>2.地点：</w:t>
      </w:r>
      <w:r>
        <w:rPr>
          <w:rFonts w:hint="eastAsia" w:ascii="宋体" w:hAnsi="宋体" w:cs="宋体"/>
          <w:sz w:val="24"/>
          <w:highlight w:val="none"/>
          <w:shd w:val="clear" w:color="auto" w:fill="FFFFFF"/>
        </w:rPr>
        <w:t>全国公共资源交易平台（河南省.平顶山市）</w:t>
      </w:r>
      <w:r>
        <w:rPr>
          <w:rFonts w:hint="eastAsia" w:ascii="宋体" w:hAnsi="宋体" w:cs="宋体"/>
          <w:sz w:val="24"/>
          <w:highlight w:val="none"/>
        </w:rPr>
        <w:t>电子交易系统。</w:t>
      </w:r>
    </w:p>
    <w:p w14:paraId="299A893E">
      <w:pPr>
        <w:tabs>
          <w:tab w:val="left" w:pos="420"/>
        </w:tabs>
        <w:spacing w:line="380" w:lineRule="exact"/>
        <w:ind w:right="-365" w:rightChars="-174"/>
        <w:rPr>
          <w:rFonts w:ascii="宋体" w:hAnsi="宋体" w:cs="宋体"/>
          <w:b/>
          <w:sz w:val="24"/>
          <w:highlight w:val="none"/>
        </w:rPr>
      </w:pPr>
      <w:r>
        <w:rPr>
          <w:rFonts w:hint="eastAsia" w:ascii="宋体" w:hAnsi="宋体" w:cs="宋体"/>
          <w:b/>
          <w:sz w:val="24"/>
          <w:highlight w:val="none"/>
        </w:rPr>
        <w:t>五、开标时间及地点:</w:t>
      </w:r>
    </w:p>
    <w:p w14:paraId="01670C91">
      <w:pPr>
        <w:spacing w:line="380" w:lineRule="exact"/>
        <w:ind w:firstLine="240" w:firstLineChars="100"/>
        <w:rPr>
          <w:rFonts w:ascii="宋体" w:hAnsi="宋体" w:cs="宋体"/>
          <w:sz w:val="24"/>
          <w:highlight w:val="none"/>
          <w:shd w:val="clear" w:color="auto" w:fill="FFFFFF"/>
        </w:rPr>
      </w:pPr>
      <w:r>
        <w:rPr>
          <w:rFonts w:hint="eastAsia" w:ascii="宋体" w:hAnsi="宋体" w:cs="宋体"/>
          <w:bCs/>
          <w:sz w:val="24"/>
          <w:highlight w:val="none"/>
        </w:rPr>
        <w:t>1.时间：</w:t>
      </w:r>
      <w:r>
        <w:rPr>
          <w:rFonts w:hint="eastAsia" w:ascii="宋体" w:hAnsi="宋体" w:cs="宋体"/>
          <w:sz w:val="24"/>
          <w:highlight w:val="none"/>
        </w:rPr>
        <w:t>2025年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w:t>
      </w:r>
      <w:r>
        <w:rPr>
          <w:rFonts w:hint="eastAsia" w:ascii="宋体" w:hAnsi="宋体" w:cs="宋体"/>
          <w:kern w:val="0"/>
          <w:sz w:val="24"/>
          <w:highlight w:val="none"/>
          <w:shd w:val="clear" w:color="auto" w:fill="FFFFFF"/>
        </w:rPr>
        <w:t>08 时40分</w:t>
      </w:r>
      <w:r>
        <w:rPr>
          <w:rFonts w:hint="eastAsia" w:ascii="宋体" w:hAnsi="宋体" w:cs="宋体"/>
          <w:sz w:val="24"/>
          <w:highlight w:val="none"/>
          <w:shd w:val="clear" w:color="auto" w:fill="FFFFFF"/>
        </w:rPr>
        <w:t>（北京时间）。</w:t>
      </w:r>
    </w:p>
    <w:p w14:paraId="1EFF3AB1">
      <w:pPr>
        <w:spacing w:line="380" w:lineRule="exact"/>
        <w:ind w:firstLine="240" w:firstLineChars="100"/>
        <w:rPr>
          <w:rFonts w:ascii="宋体" w:hAnsi="宋体" w:cs="宋体"/>
          <w:bCs/>
          <w:sz w:val="24"/>
          <w:highlight w:val="none"/>
        </w:rPr>
      </w:pPr>
      <w:r>
        <w:rPr>
          <w:rFonts w:hint="eastAsia" w:ascii="宋体" w:hAnsi="宋体" w:cs="宋体"/>
          <w:sz w:val="24"/>
          <w:highlight w:val="none"/>
          <w:shd w:val="clear" w:color="auto" w:fill="FFFFFF"/>
        </w:rPr>
        <w:t>2.地点：全国公共资源交易平台（河南省.平顶山市）电子交易</w:t>
      </w:r>
      <w:r>
        <w:rPr>
          <w:rFonts w:hint="eastAsia" w:ascii="宋体" w:hAnsi="宋体" w:cs="宋体"/>
          <w:bCs/>
          <w:sz w:val="24"/>
          <w:highlight w:val="none"/>
        </w:rPr>
        <w:t>系统。</w:t>
      </w:r>
    </w:p>
    <w:p w14:paraId="243BE533">
      <w:pPr>
        <w:spacing w:line="380" w:lineRule="exact"/>
        <w:rPr>
          <w:rFonts w:ascii="宋体" w:hAnsi="宋体" w:cs="宋体"/>
          <w:b/>
          <w:bCs/>
          <w:sz w:val="24"/>
          <w:highlight w:val="none"/>
          <w:shd w:val="clear" w:color="auto" w:fill="FFFFFF"/>
        </w:rPr>
      </w:pPr>
      <w:r>
        <w:rPr>
          <w:rFonts w:hint="eastAsia" w:ascii="宋体" w:hAnsi="宋体" w:cs="宋体"/>
          <w:b/>
          <w:bCs/>
          <w:sz w:val="24"/>
          <w:highlight w:val="none"/>
          <w:shd w:val="clear" w:color="auto" w:fill="FFFFFF"/>
          <w:lang w:val="zh-CN"/>
        </w:rPr>
        <w:t>六、</w:t>
      </w:r>
      <w:r>
        <w:rPr>
          <w:rFonts w:hint="eastAsia" w:ascii="宋体" w:hAnsi="宋体" w:cs="宋体"/>
          <w:b/>
          <w:bCs/>
          <w:sz w:val="24"/>
          <w:highlight w:val="none"/>
          <w:shd w:val="clear" w:color="auto" w:fill="FFFFFF"/>
        </w:rPr>
        <w:t>发布公告的媒介及招标公告期限:</w:t>
      </w:r>
    </w:p>
    <w:p w14:paraId="01C16FC5">
      <w:pPr>
        <w:spacing w:line="380" w:lineRule="exact"/>
        <w:ind w:firstLine="480" w:firstLineChars="200"/>
        <w:rPr>
          <w:rFonts w:ascii="宋体" w:hAnsi="宋体" w:cs="宋体"/>
          <w:sz w:val="24"/>
          <w:highlight w:val="none"/>
          <w:shd w:val="clear" w:color="auto" w:fill="FFFFFF"/>
        </w:rPr>
      </w:pPr>
      <w:r>
        <w:rPr>
          <w:rFonts w:hint="eastAsia" w:ascii="宋体" w:hAnsi="宋体" w:cs="宋体"/>
          <w:sz w:val="24"/>
          <w:highlight w:val="none"/>
          <w:shd w:val="clear" w:color="auto" w:fill="FFFFFF"/>
        </w:rPr>
        <w:t>本次招标公告在《河南省政府采购网》、《平顶山市政府采购网》、</w:t>
      </w:r>
      <w:r>
        <w:rPr>
          <w:rFonts w:hint="eastAsia" w:ascii="宋体" w:hAnsi="宋体" w:cs="宋体"/>
          <w:sz w:val="24"/>
          <w:highlight w:val="none"/>
        </w:rPr>
        <w:t>《叶县政府采购网》、</w:t>
      </w:r>
      <w:r>
        <w:rPr>
          <w:rFonts w:hint="eastAsia" w:ascii="宋体" w:hAnsi="宋体" w:cs="宋体"/>
          <w:sz w:val="24"/>
          <w:highlight w:val="none"/>
          <w:shd w:val="clear" w:color="auto" w:fill="FFFFFF"/>
        </w:rPr>
        <w:t>《全国公共资源交易平台（河南省.平顶山市）》上发布，</w:t>
      </w:r>
      <w:r>
        <w:rPr>
          <w:rFonts w:hint="eastAsia" w:ascii="宋体" w:hAnsi="宋体" w:cs="宋体"/>
          <w:bCs/>
          <w:sz w:val="24"/>
          <w:highlight w:val="none"/>
        </w:rPr>
        <w:t>招标公告期限为五个工作日</w:t>
      </w:r>
      <w:r>
        <w:rPr>
          <w:rFonts w:hint="eastAsia" w:ascii="宋体" w:hAnsi="宋体" w:cs="宋体"/>
          <w:sz w:val="24"/>
          <w:highlight w:val="none"/>
          <w:shd w:val="clear" w:color="auto" w:fill="FFFFFF"/>
        </w:rPr>
        <w:t>;</w:t>
      </w:r>
    </w:p>
    <w:p w14:paraId="477837F4">
      <w:pPr>
        <w:spacing w:line="380" w:lineRule="exact"/>
        <w:rPr>
          <w:rFonts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七、其他补充事宜:</w:t>
      </w:r>
    </w:p>
    <w:p w14:paraId="181E9994">
      <w:pPr>
        <w:spacing w:line="380" w:lineRule="exact"/>
        <w:ind w:firstLine="240" w:firstLineChars="100"/>
        <w:rPr>
          <w:rFonts w:ascii="宋体" w:hAnsi="宋体" w:cs="宋体"/>
          <w:kern w:val="0"/>
          <w:sz w:val="24"/>
          <w:highlight w:val="none"/>
          <w:shd w:val="clear" w:color="auto" w:fill="FFFFFF"/>
        </w:rPr>
      </w:pPr>
      <w:r>
        <w:rPr>
          <w:rFonts w:hint="eastAsia" w:ascii="宋体" w:hAnsi="宋体" w:cs="宋体"/>
          <w:kern w:val="0"/>
          <w:sz w:val="24"/>
          <w:highlight w:val="none"/>
          <w:shd w:val="clear" w:color="auto" w:fill="FFFFFF"/>
        </w:rPr>
        <w:t xml:space="preserve">1.本次开标全面实行在线“不见面”开标，投标人远程在线解密投标文件，不再到开标现场，投标人开标前应仔细阅读《“不见面”开标注意事项及操作流程》。 </w:t>
      </w:r>
    </w:p>
    <w:p w14:paraId="188BAF59">
      <w:pPr>
        <w:spacing w:line="380" w:lineRule="exact"/>
        <w:ind w:firstLine="240" w:firstLineChars="100"/>
        <w:rPr>
          <w:rFonts w:ascii="宋体" w:hAnsi="宋体" w:cs="宋体"/>
          <w:kern w:val="0"/>
          <w:sz w:val="24"/>
          <w:highlight w:val="none"/>
          <w:shd w:val="clear" w:color="auto" w:fill="FFFFFF"/>
        </w:rPr>
      </w:pPr>
      <w:r>
        <w:rPr>
          <w:rFonts w:hint="eastAsia" w:ascii="宋体" w:hAnsi="宋体" w:cs="宋体"/>
          <w:kern w:val="0"/>
          <w:sz w:val="24"/>
          <w:highlight w:val="none"/>
          <w:shd w:val="clear" w:color="auto" w:fill="FFFFFF"/>
        </w:rPr>
        <w:t>2.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6E97174C">
      <w:pPr>
        <w:spacing w:line="380" w:lineRule="exact"/>
        <w:ind w:left="479" w:leftChars="114" w:hanging="240" w:hangingChars="100"/>
        <w:rPr>
          <w:rFonts w:ascii="宋体" w:hAnsi="宋体" w:cs="宋体"/>
          <w:sz w:val="24"/>
          <w:highlight w:val="none"/>
        </w:rPr>
      </w:pPr>
      <w:r>
        <w:rPr>
          <w:rFonts w:hint="eastAsia" w:ascii="宋体" w:hAnsi="宋体" w:cs="宋体"/>
          <w:kern w:val="0"/>
          <w:sz w:val="24"/>
          <w:highlight w:val="none"/>
          <w:shd w:val="clear" w:color="auto" w:fill="FFFFFF"/>
        </w:rPr>
        <w:t>3.监督单位：</w:t>
      </w:r>
      <w:r>
        <w:rPr>
          <w:rFonts w:hint="eastAsia" w:ascii="宋体" w:hAnsi="宋体" w:cs="宋体"/>
          <w:sz w:val="24"/>
          <w:highlight w:val="none"/>
        </w:rPr>
        <w:t>叶县财政局</w:t>
      </w:r>
      <w:r>
        <w:rPr>
          <w:rFonts w:hint="eastAsia" w:ascii="宋体" w:hAnsi="宋体" w:cs="宋体"/>
          <w:sz w:val="24"/>
          <w:highlight w:val="none"/>
        </w:rPr>
        <w:br w:type="textWrapping"/>
      </w:r>
      <w:r>
        <w:rPr>
          <w:rFonts w:hint="eastAsia" w:ascii="宋体" w:hAnsi="宋体" w:cs="宋体"/>
          <w:sz w:val="24"/>
          <w:highlight w:val="none"/>
        </w:rPr>
        <w:t>统一信用代码：1141042200548215XM</w:t>
      </w:r>
      <w:r>
        <w:rPr>
          <w:rFonts w:hint="eastAsia" w:ascii="宋体" w:hAnsi="宋体" w:cs="宋体"/>
          <w:sz w:val="24"/>
          <w:highlight w:val="none"/>
        </w:rPr>
        <w:br w:type="textWrapping"/>
      </w:r>
      <w:r>
        <w:rPr>
          <w:rFonts w:hint="eastAsia" w:ascii="宋体" w:hAnsi="宋体" w:cs="宋体"/>
          <w:sz w:val="24"/>
          <w:highlight w:val="none"/>
        </w:rPr>
        <w:t>联系电话：0375-2316208</w:t>
      </w:r>
    </w:p>
    <w:p w14:paraId="0DD68D04">
      <w:pPr>
        <w:spacing w:line="380" w:lineRule="exact"/>
        <w:rPr>
          <w:rFonts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八、凡对本次招标提出询问，请按照以下方式联系:</w:t>
      </w:r>
    </w:p>
    <w:p w14:paraId="741FDA3F">
      <w:pPr>
        <w:spacing w:line="490" w:lineRule="exact"/>
        <w:ind w:firstLine="480" w:firstLineChars="200"/>
        <w:jc w:val="left"/>
        <w:rPr>
          <w:rStyle w:val="33"/>
          <w:rFonts w:ascii="宋体" w:hAnsi="宋体" w:cs="宋体"/>
          <w:sz w:val="24"/>
          <w:highlight w:val="none"/>
        </w:rPr>
      </w:pPr>
      <w:r>
        <w:rPr>
          <w:rStyle w:val="33"/>
          <w:rFonts w:hint="eastAsia" w:ascii="宋体" w:hAnsi="宋体" w:cs="宋体"/>
          <w:sz w:val="24"/>
          <w:highlight w:val="none"/>
        </w:rPr>
        <w:t>1. 采购人信息</w:t>
      </w:r>
    </w:p>
    <w:p w14:paraId="44F8C5B7">
      <w:pPr>
        <w:spacing w:line="480" w:lineRule="exact"/>
        <w:ind w:firstLine="480" w:firstLineChars="200"/>
        <w:rPr>
          <w:rFonts w:ascii="宋体" w:hAnsi="宋体" w:cs="宋体"/>
          <w:sz w:val="24"/>
          <w:highlight w:val="none"/>
        </w:rPr>
      </w:pPr>
      <w:r>
        <w:rPr>
          <w:rFonts w:hint="eastAsia" w:ascii="宋体" w:hAnsi="宋体" w:cs="宋体"/>
          <w:sz w:val="24"/>
          <w:highlight w:val="none"/>
        </w:rPr>
        <w:t>名称：叶县公安局</w:t>
      </w:r>
    </w:p>
    <w:p w14:paraId="0532F754">
      <w:pPr>
        <w:spacing w:line="480" w:lineRule="exact"/>
        <w:ind w:firstLine="480" w:firstLineChars="200"/>
        <w:rPr>
          <w:rFonts w:ascii="宋体" w:hAnsi="宋体" w:cs="宋体"/>
          <w:sz w:val="24"/>
          <w:highlight w:val="none"/>
        </w:rPr>
      </w:pPr>
      <w:r>
        <w:rPr>
          <w:rFonts w:hint="eastAsia" w:ascii="宋体" w:hAnsi="宋体" w:cs="宋体"/>
          <w:sz w:val="24"/>
          <w:highlight w:val="none"/>
        </w:rPr>
        <w:t>地址：河南省平顶山市叶县九龙路155号</w:t>
      </w:r>
    </w:p>
    <w:p w14:paraId="5BB69CFA">
      <w:pPr>
        <w:spacing w:line="480" w:lineRule="exact"/>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rPr>
        <w:t>联系人：</w:t>
      </w:r>
      <w:r>
        <w:rPr>
          <w:rFonts w:hint="eastAsia" w:ascii="宋体" w:hAnsi="宋体" w:cs="宋体"/>
          <w:sz w:val="24"/>
          <w:highlight w:val="none"/>
          <w:lang w:val="en-US" w:eastAsia="zh-CN"/>
        </w:rPr>
        <w:t>王先生</w:t>
      </w:r>
    </w:p>
    <w:p w14:paraId="041A715C">
      <w:pPr>
        <w:spacing w:line="480" w:lineRule="exac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联系方式：</w:t>
      </w:r>
      <w:r>
        <w:rPr>
          <w:rFonts w:hint="eastAsia" w:ascii="宋体" w:hAnsi="宋体" w:cs="宋体"/>
          <w:sz w:val="24"/>
          <w:highlight w:val="none"/>
          <w:lang w:val="en-US" w:eastAsia="zh-CN"/>
        </w:rPr>
        <w:t>0375-3649058</w:t>
      </w:r>
    </w:p>
    <w:p w14:paraId="505F1DB2">
      <w:pPr>
        <w:autoSpaceDE w:val="0"/>
        <w:spacing w:line="500" w:lineRule="exact"/>
        <w:ind w:firstLine="480" w:firstLineChars="200"/>
        <w:jc w:val="left"/>
        <w:rPr>
          <w:rFonts w:ascii="宋体" w:hAnsi="宋体" w:cs="宋体"/>
          <w:sz w:val="24"/>
          <w:highlight w:val="none"/>
        </w:rPr>
      </w:pPr>
      <w:r>
        <w:rPr>
          <w:rFonts w:hint="eastAsia" w:ascii="宋体" w:hAnsi="宋体" w:cs="宋体"/>
          <w:sz w:val="24"/>
          <w:highlight w:val="none"/>
        </w:rPr>
        <w:t>2.采购代理机构信息</w:t>
      </w:r>
    </w:p>
    <w:p w14:paraId="24FC9A4E">
      <w:pPr>
        <w:autoSpaceDE w:val="0"/>
        <w:spacing w:line="500" w:lineRule="exact"/>
        <w:ind w:firstLine="480" w:firstLineChars="200"/>
        <w:jc w:val="left"/>
        <w:rPr>
          <w:rFonts w:ascii="宋体" w:hAnsi="宋体" w:cs="宋体"/>
          <w:sz w:val="24"/>
          <w:highlight w:val="none"/>
        </w:rPr>
      </w:pPr>
      <w:r>
        <w:rPr>
          <w:rFonts w:hint="eastAsia" w:ascii="宋体" w:hAnsi="宋体" w:cs="宋体"/>
          <w:sz w:val="24"/>
          <w:highlight w:val="none"/>
        </w:rPr>
        <w:t>名称：师梦勘测设计集团有限公司</w:t>
      </w:r>
    </w:p>
    <w:p w14:paraId="30C404B8">
      <w:pPr>
        <w:pStyle w:val="4"/>
        <w:spacing w:line="440" w:lineRule="exact"/>
        <w:ind w:firstLine="480" w:firstLineChars="200"/>
        <w:rPr>
          <w:rFonts w:hAnsi="宋体"/>
          <w:color w:val="auto"/>
          <w:highlight w:val="none"/>
        </w:rPr>
      </w:pPr>
      <w:r>
        <w:rPr>
          <w:rFonts w:hint="eastAsia" w:hAnsi="宋体"/>
          <w:color w:val="auto"/>
          <w:highlight w:val="none"/>
        </w:rPr>
        <w:t>地址：河南省郑州市高新技术开发区冬青街46号B区007号</w:t>
      </w:r>
    </w:p>
    <w:p w14:paraId="1CE6AB49">
      <w:pPr>
        <w:pStyle w:val="4"/>
        <w:spacing w:line="440" w:lineRule="exact"/>
        <w:ind w:firstLine="480" w:firstLineChars="200"/>
        <w:rPr>
          <w:rFonts w:hAnsi="宋体"/>
          <w:color w:val="auto"/>
          <w:highlight w:val="none"/>
        </w:rPr>
      </w:pPr>
      <w:r>
        <w:rPr>
          <w:rFonts w:hint="eastAsia" w:hAnsi="宋体"/>
          <w:color w:val="auto"/>
          <w:highlight w:val="none"/>
        </w:rPr>
        <w:t>联系人：韩小芳</w:t>
      </w:r>
    </w:p>
    <w:p w14:paraId="125C8D36">
      <w:pPr>
        <w:pStyle w:val="4"/>
        <w:spacing w:line="440" w:lineRule="exact"/>
        <w:ind w:firstLine="480" w:firstLineChars="200"/>
        <w:rPr>
          <w:rFonts w:hAnsi="宋体"/>
          <w:color w:val="auto"/>
          <w:highlight w:val="none"/>
        </w:rPr>
      </w:pPr>
      <w:r>
        <w:rPr>
          <w:rFonts w:hint="eastAsia" w:hAnsi="宋体"/>
          <w:color w:val="auto"/>
          <w:highlight w:val="none"/>
        </w:rPr>
        <w:t>联系方式：15225010639</w:t>
      </w:r>
    </w:p>
    <w:p w14:paraId="78332BC4">
      <w:pPr>
        <w:autoSpaceDE w:val="0"/>
        <w:spacing w:line="500" w:lineRule="exact"/>
        <w:ind w:firstLine="480" w:firstLineChars="200"/>
        <w:rPr>
          <w:rFonts w:ascii="宋体" w:hAnsi="宋体" w:cs="宋体"/>
          <w:sz w:val="24"/>
          <w:highlight w:val="none"/>
        </w:rPr>
      </w:pPr>
      <w:r>
        <w:rPr>
          <w:rFonts w:hint="eastAsia" w:ascii="宋体" w:hAnsi="宋体" w:cs="宋体"/>
          <w:sz w:val="24"/>
          <w:highlight w:val="none"/>
        </w:rPr>
        <w:t>3.项目联系方式</w:t>
      </w:r>
    </w:p>
    <w:p w14:paraId="7089469A">
      <w:pPr>
        <w:pStyle w:val="4"/>
        <w:spacing w:line="440" w:lineRule="exact"/>
        <w:ind w:firstLine="480" w:firstLineChars="200"/>
        <w:rPr>
          <w:rFonts w:hAnsi="宋体"/>
          <w:color w:val="auto"/>
          <w:highlight w:val="none"/>
        </w:rPr>
      </w:pPr>
      <w:r>
        <w:rPr>
          <w:rFonts w:hint="eastAsia" w:hAnsi="宋体"/>
          <w:color w:val="auto"/>
          <w:highlight w:val="none"/>
        </w:rPr>
        <w:t>联系人：韩小芳</w:t>
      </w:r>
    </w:p>
    <w:p w14:paraId="129337DE">
      <w:pPr>
        <w:pStyle w:val="4"/>
        <w:spacing w:line="440" w:lineRule="exact"/>
        <w:ind w:firstLine="480" w:firstLineChars="200"/>
        <w:rPr>
          <w:rFonts w:hAnsi="宋体"/>
          <w:color w:val="auto"/>
          <w:highlight w:val="none"/>
        </w:rPr>
      </w:pPr>
      <w:r>
        <w:rPr>
          <w:rFonts w:hint="eastAsia" w:hAnsi="宋体"/>
          <w:color w:val="auto"/>
          <w:highlight w:val="none"/>
        </w:rPr>
        <w:t>联系方式：15225010639</w:t>
      </w:r>
    </w:p>
    <w:p w14:paraId="7254EA05">
      <w:pPr>
        <w:spacing w:line="380" w:lineRule="exact"/>
        <w:rPr>
          <w:rFonts w:ascii="宋体" w:hAnsi="宋体" w:cs="宋体"/>
          <w:kern w:val="0"/>
          <w:sz w:val="24"/>
          <w:highlight w:val="none"/>
          <w:shd w:val="clear" w:color="auto" w:fill="FFFFFF"/>
        </w:rPr>
      </w:pPr>
    </w:p>
    <w:p w14:paraId="76B12578">
      <w:pPr>
        <w:rPr>
          <w:rFonts w:ascii="宋体" w:hAnsi="宋体" w:cs="宋体"/>
          <w:highlight w:val="none"/>
        </w:rPr>
      </w:pPr>
      <w:r>
        <w:rPr>
          <w:rFonts w:hint="eastAsia" w:ascii="宋体" w:hAnsi="宋体" w:cs="宋体"/>
          <w:highlight w:val="none"/>
        </w:rPr>
        <w:br w:type="page"/>
      </w:r>
    </w:p>
    <w:p w14:paraId="761F7737">
      <w:pPr>
        <w:widowControl/>
        <w:autoSpaceDE w:val="0"/>
        <w:autoSpaceDN w:val="0"/>
        <w:ind w:right="79"/>
        <w:jc w:val="center"/>
        <w:rPr>
          <w:rFonts w:ascii="宋体" w:hAnsi="宋体" w:cs="宋体"/>
          <w:sz w:val="24"/>
          <w:highlight w:val="none"/>
          <w:shd w:val="clear" w:color="auto" w:fill="FFFFFF"/>
        </w:rPr>
      </w:pPr>
    </w:p>
    <w:p w14:paraId="30E656DC">
      <w:pPr>
        <w:widowControl/>
        <w:autoSpaceDE w:val="0"/>
        <w:autoSpaceDN w:val="0"/>
        <w:ind w:right="79"/>
        <w:jc w:val="center"/>
        <w:rPr>
          <w:rFonts w:ascii="宋体" w:hAnsi="宋体" w:cs="宋体"/>
          <w:b/>
          <w:bCs/>
          <w:sz w:val="44"/>
          <w:szCs w:val="44"/>
          <w:highlight w:val="none"/>
          <w:shd w:val="clear" w:color="auto" w:fill="FFFFFF"/>
        </w:rPr>
      </w:pPr>
      <w:r>
        <w:rPr>
          <w:rFonts w:hint="eastAsia" w:ascii="宋体" w:hAnsi="宋体" w:cs="宋体"/>
          <w:b/>
          <w:bCs/>
          <w:sz w:val="44"/>
          <w:szCs w:val="44"/>
          <w:highlight w:val="none"/>
          <w:shd w:val="clear" w:color="auto" w:fill="FFFFFF"/>
        </w:rPr>
        <w:t>温馨提示：</w:t>
      </w:r>
    </w:p>
    <w:p w14:paraId="62604F2C">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本项目为全流程电子化交易项目，请认真阅读采购文件，并注意以下事项。</w:t>
      </w:r>
    </w:p>
    <w:p w14:paraId="2882A28C">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 xml:space="preserve">1.供应商应按采购文件规定编制、提交电子投标文件。 </w:t>
      </w:r>
    </w:p>
    <w:p w14:paraId="2AA33811">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2.本项目供应商不用再提供纸质投标文件。</w:t>
      </w:r>
    </w:p>
    <w:p w14:paraId="3D72B2D1">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3.电子文件下载、制作、提交期间和开标（电子投标文件的解密）环节，供应商须使用CA数字证书（证书须在有效期内）。</w:t>
      </w:r>
    </w:p>
    <w:p w14:paraId="15BE745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4.电子投标文件的制作</w:t>
      </w:r>
    </w:p>
    <w:p w14:paraId="0142CB64">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4.1 供应商登录《全国公共资源交易平台(河南省▪平顶山市)》公共资源交易系统下载“平顶山投标文件制作系统”，按采购文件要求制作电子投标文件。</w:t>
      </w:r>
    </w:p>
    <w:p w14:paraId="23B981C4">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电子投标文件的制作，参考《全国公共资源交易平台(河南省▪平顶山市)》公共资源交易系统——组件下载——交易系统操作手册（投标人、供应商）。</w:t>
      </w:r>
    </w:p>
    <w:p w14:paraId="21EFE9D7">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4.2 供应商须将采购文件要求的资质、业绩、荣誉及相关人员证明材料等资料原件扫描件（或图片）制作到所提交的电子投标文件中。</w:t>
      </w:r>
    </w:p>
    <w:p w14:paraId="7398C82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4.3供应商对同一项目多个标段进行投标的，应分别下载所投标段的采购文件，按标段制作电子投标文件，并按采购文件要求在相应位置加盖供应商电子印章和法人电子印章。</w:t>
      </w:r>
    </w:p>
    <w:p w14:paraId="1B195C04">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一个标段对应生成一个文件夹（xxxx项目xx标段）, 其中包含2个文件和1个文件夹。后缀名为“.file”的文件用于电子投标使用，名称为“备份”的文件夹使用电子介质存储，供开标现场备用。</w:t>
      </w:r>
    </w:p>
    <w:p w14:paraId="5754E6D9">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5.加密电子投标文件的提交</w:t>
      </w:r>
    </w:p>
    <w:p w14:paraId="7A54E26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5.1加密电子投标文件应在采购文件规定的投标截止时间（开标时间）之前成功提交至《全国公共资源交易平台(河南省▪平顶山市)》公共资源交易系统。</w:t>
      </w:r>
    </w:p>
    <w:p w14:paraId="2DB7B0A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供应商应充分考虑并预留技术处理和上传数据所需时间。</w:t>
      </w:r>
    </w:p>
    <w:p w14:paraId="615F5FE1">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5.2 供应商对同一项目多个标段进行投标的，加密电子投标文件应按标段分别提交。</w:t>
      </w:r>
    </w:p>
    <w:p w14:paraId="5332AA91">
      <w:pPr>
        <w:pStyle w:val="16"/>
        <w:rPr>
          <w:rFonts w:cs="宋体"/>
          <w:highlight w:val="none"/>
        </w:rPr>
      </w:pPr>
    </w:p>
    <w:p w14:paraId="25385B06">
      <w:pPr>
        <w:pStyle w:val="16"/>
        <w:rPr>
          <w:rFonts w:cs="宋体"/>
          <w:highlight w:val="none"/>
        </w:rPr>
      </w:pPr>
    </w:p>
    <w:p w14:paraId="7D209D4A">
      <w:pPr>
        <w:rPr>
          <w:rFonts w:ascii="宋体" w:hAnsi="宋体" w:cs="宋体"/>
          <w:highlight w:val="none"/>
        </w:rPr>
      </w:pPr>
      <w:r>
        <w:rPr>
          <w:rFonts w:hint="eastAsia" w:ascii="宋体" w:hAnsi="宋体" w:cs="宋体"/>
          <w:highlight w:val="none"/>
        </w:rPr>
        <w:br w:type="page"/>
      </w:r>
    </w:p>
    <w:p w14:paraId="38B830E4">
      <w:pPr>
        <w:pStyle w:val="10"/>
        <w:numPr>
          <w:ilvl w:val="0"/>
          <w:numId w:val="3"/>
        </w:numPr>
        <w:tabs>
          <w:tab w:val="left" w:pos="1283"/>
        </w:tabs>
        <w:spacing w:before="37"/>
        <w:ind w:right="637"/>
        <w:rPr>
          <w:highlight w:val="none"/>
        </w:rPr>
      </w:pPr>
      <w:bookmarkStart w:id="2" w:name="_Toc9079"/>
      <w:bookmarkStart w:id="3" w:name="_Toc12728"/>
      <w:bookmarkStart w:id="4" w:name="_Toc5301"/>
      <w:bookmarkStart w:id="5" w:name="_Toc13827"/>
      <w:r>
        <w:rPr>
          <w:rFonts w:hint="eastAsia"/>
          <w:highlight w:val="none"/>
        </w:rPr>
        <w:t>投标人须知</w:t>
      </w:r>
      <w:bookmarkEnd w:id="2"/>
      <w:bookmarkEnd w:id="3"/>
      <w:bookmarkEnd w:id="4"/>
      <w:bookmarkEnd w:id="5"/>
    </w:p>
    <w:p w14:paraId="04EB2FF8">
      <w:pPr>
        <w:pStyle w:val="11"/>
        <w:ind w:left="0" w:right="76"/>
        <w:jc w:val="center"/>
        <w:rPr>
          <w:rFonts w:ascii="宋体" w:hAnsi="宋体" w:eastAsia="宋体" w:cs="宋体"/>
          <w:b/>
          <w:bCs/>
          <w:sz w:val="28"/>
          <w:szCs w:val="28"/>
          <w:highlight w:val="none"/>
        </w:rPr>
      </w:pPr>
      <w:bookmarkStart w:id="6" w:name="_bookmark2"/>
      <w:bookmarkEnd w:id="6"/>
      <w:bookmarkStart w:id="7" w:name="_Toc2076"/>
      <w:r>
        <w:rPr>
          <w:rFonts w:hint="eastAsia" w:ascii="宋体" w:hAnsi="宋体" w:eastAsia="宋体" w:cs="宋体"/>
          <w:b/>
          <w:bCs/>
          <w:sz w:val="28"/>
          <w:szCs w:val="28"/>
          <w:highlight w:val="none"/>
        </w:rPr>
        <w:t>投标人须知前附表</w:t>
      </w:r>
      <w:bookmarkEnd w:id="7"/>
    </w:p>
    <w:tbl>
      <w:tblPr>
        <w:tblStyle w:val="24"/>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97"/>
        <w:gridCol w:w="6442"/>
      </w:tblGrid>
      <w:tr w14:paraId="54A8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DAE4A3D">
            <w:pPr>
              <w:spacing w:line="400" w:lineRule="exact"/>
              <w:jc w:val="center"/>
              <w:rPr>
                <w:rFonts w:ascii="宋体" w:hAnsi="宋体" w:cs="宋体"/>
                <w:sz w:val="24"/>
                <w:highlight w:val="none"/>
              </w:rPr>
            </w:pPr>
            <w:r>
              <w:rPr>
                <w:rFonts w:hint="eastAsia" w:ascii="宋体" w:hAnsi="宋体" w:cs="宋体"/>
                <w:sz w:val="24"/>
                <w:highlight w:val="none"/>
              </w:rPr>
              <w:t>序号</w:t>
            </w:r>
          </w:p>
        </w:tc>
        <w:tc>
          <w:tcPr>
            <w:tcW w:w="1997" w:type="dxa"/>
            <w:vAlign w:val="center"/>
          </w:tcPr>
          <w:p w14:paraId="53F8AD38">
            <w:pPr>
              <w:spacing w:line="400" w:lineRule="exact"/>
              <w:jc w:val="center"/>
              <w:rPr>
                <w:rFonts w:ascii="宋体" w:hAnsi="宋体" w:cs="宋体"/>
                <w:sz w:val="24"/>
                <w:highlight w:val="none"/>
              </w:rPr>
            </w:pPr>
            <w:r>
              <w:rPr>
                <w:rFonts w:hint="eastAsia" w:ascii="宋体" w:hAnsi="宋体" w:cs="宋体"/>
                <w:sz w:val="24"/>
                <w:highlight w:val="none"/>
              </w:rPr>
              <w:t>名  称</w:t>
            </w:r>
          </w:p>
        </w:tc>
        <w:tc>
          <w:tcPr>
            <w:tcW w:w="6442" w:type="dxa"/>
            <w:vAlign w:val="center"/>
          </w:tcPr>
          <w:p w14:paraId="03E8B935">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0927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0E0B7098">
            <w:pPr>
              <w:spacing w:line="400" w:lineRule="exact"/>
              <w:jc w:val="center"/>
              <w:rPr>
                <w:rFonts w:ascii="宋体" w:hAnsi="宋体" w:cs="宋体"/>
                <w:sz w:val="24"/>
                <w:highlight w:val="none"/>
              </w:rPr>
            </w:pPr>
            <w:r>
              <w:rPr>
                <w:rFonts w:hint="eastAsia" w:ascii="宋体" w:hAnsi="宋体" w:cs="宋体"/>
                <w:sz w:val="24"/>
                <w:highlight w:val="none"/>
              </w:rPr>
              <w:t>1</w:t>
            </w:r>
          </w:p>
        </w:tc>
        <w:tc>
          <w:tcPr>
            <w:tcW w:w="1997" w:type="dxa"/>
            <w:vAlign w:val="center"/>
          </w:tcPr>
          <w:p w14:paraId="1F828021">
            <w:pPr>
              <w:spacing w:line="360" w:lineRule="auto"/>
              <w:jc w:val="center"/>
              <w:rPr>
                <w:rFonts w:ascii="宋体" w:hAnsi="宋体" w:cs="宋体"/>
                <w:sz w:val="24"/>
                <w:highlight w:val="none"/>
              </w:rPr>
            </w:pPr>
            <w:r>
              <w:rPr>
                <w:rFonts w:hint="eastAsia" w:ascii="宋体" w:hAnsi="宋体" w:cs="宋体"/>
                <w:sz w:val="24"/>
                <w:highlight w:val="none"/>
              </w:rPr>
              <w:t>采购人</w:t>
            </w:r>
          </w:p>
        </w:tc>
        <w:tc>
          <w:tcPr>
            <w:tcW w:w="6442" w:type="dxa"/>
            <w:vAlign w:val="center"/>
          </w:tcPr>
          <w:p w14:paraId="7119A201">
            <w:pPr>
              <w:spacing w:line="400" w:lineRule="exact"/>
              <w:jc w:val="left"/>
              <w:rPr>
                <w:rFonts w:ascii="宋体" w:hAnsi="宋体" w:cs="宋体"/>
                <w:sz w:val="24"/>
                <w:highlight w:val="none"/>
              </w:rPr>
            </w:pPr>
            <w:r>
              <w:rPr>
                <w:rFonts w:hint="eastAsia" w:ascii="宋体" w:hAnsi="宋体" w:cs="宋体"/>
                <w:sz w:val="24"/>
                <w:highlight w:val="none"/>
              </w:rPr>
              <w:t>名称：叶县公安局</w:t>
            </w:r>
          </w:p>
          <w:p w14:paraId="27985B07">
            <w:pPr>
              <w:spacing w:line="400" w:lineRule="exact"/>
              <w:jc w:val="left"/>
              <w:rPr>
                <w:rFonts w:ascii="宋体" w:hAnsi="宋体" w:cs="宋体"/>
                <w:sz w:val="24"/>
                <w:highlight w:val="none"/>
              </w:rPr>
            </w:pPr>
            <w:r>
              <w:rPr>
                <w:rFonts w:hint="eastAsia" w:ascii="宋体" w:hAnsi="宋体" w:cs="宋体"/>
                <w:sz w:val="24"/>
                <w:highlight w:val="none"/>
              </w:rPr>
              <w:t>地址：河南省平顶山市叶县九龙路155号</w:t>
            </w:r>
          </w:p>
          <w:p w14:paraId="52402070">
            <w:pPr>
              <w:spacing w:line="480" w:lineRule="exact"/>
              <w:rPr>
                <w:rFonts w:hint="eastAsia" w:ascii="宋体" w:hAnsi="宋体" w:eastAsia="宋体" w:cs="宋体"/>
                <w:sz w:val="24"/>
                <w:highlight w:val="none"/>
                <w:lang w:val="en-US" w:eastAsia="zh-CN"/>
              </w:rPr>
            </w:pPr>
            <w:r>
              <w:rPr>
                <w:rFonts w:hint="eastAsia" w:ascii="宋体" w:hAnsi="宋体" w:cs="宋体"/>
                <w:sz w:val="24"/>
                <w:highlight w:val="none"/>
              </w:rPr>
              <w:t>联系人：</w:t>
            </w:r>
            <w:r>
              <w:rPr>
                <w:rFonts w:hint="eastAsia" w:ascii="宋体" w:hAnsi="宋体" w:cs="宋体"/>
                <w:sz w:val="24"/>
                <w:highlight w:val="none"/>
                <w:lang w:val="en-US" w:eastAsia="zh-CN"/>
              </w:rPr>
              <w:t>王先生</w:t>
            </w:r>
          </w:p>
          <w:p w14:paraId="58797CEF">
            <w:pPr>
              <w:spacing w:line="400" w:lineRule="exact"/>
              <w:jc w:val="left"/>
              <w:rPr>
                <w:rFonts w:ascii="宋体" w:hAnsi="宋体" w:cs="宋体"/>
                <w:sz w:val="24"/>
                <w:highlight w:val="none"/>
              </w:rPr>
            </w:pPr>
            <w:r>
              <w:rPr>
                <w:rFonts w:hint="eastAsia" w:ascii="宋体" w:hAnsi="宋体" w:cs="宋体"/>
                <w:sz w:val="24"/>
                <w:highlight w:val="none"/>
              </w:rPr>
              <w:t>联系方式：</w:t>
            </w:r>
            <w:r>
              <w:rPr>
                <w:rFonts w:hint="eastAsia" w:ascii="宋体" w:hAnsi="宋体" w:cs="宋体"/>
                <w:sz w:val="24"/>
                <w:highlight w:val="none"/>
                <w:lang w:val="en-US" w:eastAsia="zh-CN"/>
              </w:rPr>
              <w:t>0375-3649058</w:t>
            </w:r>
          </w:p>
        </w:tc>
      </w:tr>
      <w:tr w14:paraId="3732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0D923FC8">
            <w:pPr>
              <w:spacing w:line="400" w:lineRule="exact"/>
              <w:jc w:val="center"/>
              <w:rPr>
                <w:rFonts w:ascii="宋体" w:hAnsi="宋体" w:cs="宋体"/>
                <w:sz w:val="24"/>
                <w:highlight w:val="none"/>
              </w:rPr>
            </w:pPr>
            <w:r>
              <w:rPr>
                <w:rFonts w:hint="eastAsia" w:ascii="宋体" w:hAnsi="宋体" w:cs="宋体"/>
                <w:sz w:val="24"/>
                <w:highlight w:val="none"/>
              </w:rPr>
              <w:t>2</w:t>
            </w:r>
          </w:p>
        </w:tc>
        <w:tc>
          <w:tcPr>
            <w:tcW w:w="1997" w:type="dxa"/>
            <w:vAlign w:val="center"/>
          </w:tcPr>
          <w:p w14:paraId="0E29D373">
            <w:pPr>
              <w:spacing w:line="360" w:lineRule="auto"/>
              <w:jc w:val="center"/>
              <w:rPr>
                <w:rFonts w:ascii="宋体" w:hAnsi="宋体" w:cs="宋体"/>
                <w:sz w:val="24"/>
                <w:highlight w:val="none"/>
              </w:rPr>
            </w:pPr>
            <w:r>
              <w:rPr>
                <w:rFonts w:hint="eastAsia" w:ascii="宋体" w:hAnsi="宋体" w:cs="宋体"/>
                <w:sz w:val="24"/>
                <w:highlight w:val="none"/>
              </w:rPr>
              <w:t>采购代理机构</w:t>
            </w:r>
          </w:p>
        </w:tc>
        <w:tc>
          <w:tcPr>
            <w:tcW w:w="6442" w:type="dxa"/>
            <w:vAlign w:val="center"/>
          </w:tcPr>
          <w:p w14:paraId="34FAF252">
            <w:pPr>
              <w:spacing w:line="400" w:lineRule="exact"/>
              <w:jc w:val="left"/>
              <w:rPr>
                <w:rFonts w:ascii="宋体" w:hAnsi="宋体" w:cs="宋体"/>
                <w:sz w:val="24"/>
                <w:highlight w:val="none"/>
              </w:rPr>
            </w:pPr>
            <w:r>
              <w:rPr>
                <w:rFonts w:hint="eastAsia" w:ascii="宋体" w:hAnsi="宋体" w:cs="宋体"/>
                <w:kern w:val="0"/>
                <w:sz w:val="24"/>
                <w:highlight w:val="none"/>
                <w:shd w:val="clear" w:color="auto" w:fill="FFFFFF"/>
              </w:rPr>
              <w:t>名称：师梦勘测设计集团有限公司</w:t>
            </w:r>
          </w:p>
          <w:p w14:paraId="07DAACB9">
            <w:pPr>
              <w:spacing w:line="400" w:lineRule="exact"/>
              <w:jc w:val="left"/>
              <w:rPr>
                <w:rFonts w:ascii="宋体" w:hAnsi="宋体" w:cs="宋体"/>
                <w:sz w:val="24"/>
                <w:highlight w:val="none"/>
              </w:rPr>
            </w:pPr>
            <w:r>
              <w:rPr>
                <w:rFonts w:hint="eastAsia" w:ascii="宋体" w:hAnsi="宋体" w:cs="宋体"/>
                <w:sz w:val="24"/>
                <w:highlight w:val="none"/>
              </w:rPr>
              <w:t>地址：河南省郑州市高新技术开发区冬青街46号B区007号</w:t>
            </w:r>
          </w:p>
          <w:p w14:paraId="6FE97DD3">
            <w:pPr>
              <w:spacing w:line="400" w:lineRule="exact"/>
              <w:jc w:val="left"/>
              <w:rPr>
                <w:rFonts w:ascii="宋体" w:hAnsi="宋体" w:cs="宋体"/>
                <w:sz w:val="24"/>
                <w:highlight w:val="none"/>
              </w:rPr>
            </w:pPr>
            <w:r>
              <w:rPr>
                <w:rFonts w:hint="eastAsia" w:ascii="宋体" w:hAnsi="宋体" w:cs="宋体"/>
                <w:sz w:val="24"/>
                <w:highlight w:val="none"/>
              </w:rPr>
              <w:t>联系人：韩小芳</w:t>
            </w:r>
          </w:p>
          <w:p w14:paraId="05FF555E">
            <w:pPr>
              <w:spacing w:line="400" w:lineRule="exact"/>
              <w:jc w:val="left"/>
              <w:rPr>
                <w:rFonts w:ascii="宋体" w:hAnsi="宋体" w:cs="宋体"/>
                <w:sz w:val="24"/>
                <w:highlight w:val="none"/>
              </w:rPr>
            </w:pPr>
            <w:r>
              <w:rPr>
                <w:rFonts w:hint="eastAsia" w:ascii="宋体" w:hAnsi="宋体" w:cs="宋体"/>
                <w:sz w:val="24"/>
                <w:highlight w:val="none"/>
              </w:rPr>
              <w:t>联系方式：15225010639</w:t>
            </w:r>
          </w:p>
        </w:tc>
      </w:tr>
      <w:tr w14:paraId="6CB3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77" w:type="dxa"/>
            <w:vAlign w:val="center"/>
          </w:tcPr>
          <w:p w14:paraId="54A56B55">
            <w:pPr>
              <w:spacing w:line="400" w:lineRule="exact"/>
              <w:jc w:val="center"/>
              <w:rPr>
                <w:rFonts w:ascii="宋体" w:hAnsi="宋体" w:cs="宋体"/>
                <w:sz w:val="24"/>
                <w:highlight w:val="none"/>
              </w:rPr>
            </w:pPr>
            <w:r>
              <w:rPr>
                <w:rFonts w:hint="eastAsia" w:ascii="宋体" w:hAnsi="宋体" w:cs="宋体"/>
                <w:sz w:val="24"/>
                <w:highlight w:val="none"/>
              </w:rPr>
              <w:t>3</w:t>
            </w:r>
          </w:p>
        </w:tc>
        <w:tc>
          <w:tcPr>
            <w:tcW w:w="1997" w:type="dxa"/>
            <w:vAlign w:val="center"/>
          </w:tcPr>
          <w:p w14:paraId="70BE9785">
            <w:pPr>
              <w:jc w:val="center"/>
              <w:rPr>
                <w:rFonts w:ascii="宋体" w:hAnsi="宋体" w:cs="宋体"/>
                <w:sz w:val="24"/>
                <w:highlight w:val="none"/>
              </w:rPr>
            </w:pPr>
            <w:r>
              <w:rPr>
                <w:rFonts w:hint="eastAsia" w:ascii="宋体" w:hAnsi="宋体" w:cs="宋体"/>
                <w:sz w:val="24"/>
                <w:highlight w:val="none"/>
              </w:rPr>
              <w:t>项目名称</w:t>
            </w:r>
          </w:p>
        </w:tc>
        <w:tc>
          <w:tcPr>
            <w:tcW w:w="6442" w:type="dxa"/>
            <w:vAlign w:val="center"/>
          </w:tcPr>
          <w:p w14:paraId="6A773CA5">
            <w:pPr>
              <w:spacing w:line="400" w:lineRule="exact"/>
              <w:jc w:val="left"/>
              <w:rPr>
                <w:rFonts w:ascii="宋体" w:hAnsi="宋体" w:cs="宋体"/>
                <w:bCs/>
                <w:sz w:val="24"/>
                <w:highlight w:val="none"/>
              </w:rPr>
            </w:pPr>
            <w:r>
              <w:rPr>
                <w:rFonts w:hint="eastAsia" w:ascii="宋体" w:hAnsi="宋体" w:cs="宋体"/>
                <w:kern w:val="0"/>
                <w:sz w:val="24"/>
                <w:highlight w:val="none"/>
                <w:shd w:val="clear" w:color="auto" w:fill="FFFFFF"/>
              </w:rPr>
              <w:t>叶县公安局执法办案中心设备采购项目</w:t>
            </w:r>
          </w:p>
        </w:tc>
      </w:tr>
      <w:tr w14:paraId="1F90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7" w:type="dxa"/>
            <w:vAlign w:val="center"/>
          </w:tcPr>
          <w:p w14:paraId="450F90CB">
            <w:pPr>
              <w:spacing w:line="400" w:lineRule="exact"/>
              <w:jc w:val="center"/>
              <w:rPr>
                <w:rFonts w:ascii="宋体" w:hAnsi="宋体" w:cs="宋体"/>
                <w:sz w:val="24"/>
                <w:highlight w:val="none"/>
              </w:rPr>
            </w:pPr>
            <w:r>
              <w:rPr>
                <w:rFonts w:hint="eastAsia" w:ascii="宋体" w:hAnsi="宋体" w:cs="宋体"/>
                <w:sz w:val="24"/>
                <w:highlight w:val="none"/>
              </w:rPr>
              <w:t>4</w:t>
            </w:r>
          </w:p>
        </w:tc>
        <w:tc>
          <w:tcPr>
            <w:tcW w:w="1997" w:type="dxa"/>
            <w:vAlign w:val="center"/>
          </w:tcPr>
          <w:p w14:paraId="1E545B99">
            <w:pPr>
              <w:jc w:val="center"/>
              <w:rPr>
                <w:rFonts w:ascii="宋体" w:hAnsi="宋体" w:cs="宋体"/>
                <w:sz w:val="24"/>
                <w:highlight w:val="none"/>
              </w:rPr>
            </w:pPr>
            <w:r>
              <w:rPr>
                <w:rFonts w:hint="eastAsia" w:ascii="宋体" w:hAnsi="宋体" w:cs="宋体"/>
                <w:sz w:val="24"/>
                <w:highlight w:val="none"/>
              </w:rPr>
              <w:t>资金来源及落实</w:t>
            </w:r>
          </w:p>
          <w:p w14:paraId="165DD04B">
            <w:pPr>
              <w:jc w:val="center"/>
              <w:rPr>
                <w:rFonts w:ascii="宋体" w:hAnsi="宋体" w:cs="宋体"/>
                <w:sz w:val="24"/>
                <w:highlight w:val="none"/>
              </w:rPr>
            </w:pPr>
            <w:r>
              <w:rPr>
                <w:rFonts w:hint="eastAsia" w:ascii="宋体" w:hAnsi="宋体" w:cs="宋体"/>
                <w:sz w:val="24"/>
                <w:highlight w:val="none"/>
              </w:rPr>
              <w:t>情况</w:t>
            </w:r>
          </w:p>
        </w:tc>
        <w:tc>
          <w:tcPr>
            <w:tcW w:w="6442" w:type="dxa"/>
            <w:vAlign w:val="center"/>
          </w:tcPr>
          <w:p w14:paraId="2E161267">
            <w:pPr>
              <w:spacing w:line="400" w:lineRule="exact"/>
              <w:jc w:val="left"/>
              <w:rPr>
                <w:rFonts w:ascii="宋体" w:hAnsi="宋体" w:cs="宋体"/>
                <w:sz w:val="24"/>
                <w:highlight w:val="none"/>
              </w:rPr>
            </w:pPr>
            <w:r>
              <w:rPr>
                <w:rFonts w:hint="eastAsia" w:ascii="宋体" w:hAnsi="宋体" w:cs="宋体"/>
                <w:sz w:val="24"/>
                <w:highlight w:val="none"/>
              </w:rPr>
              <w:t>财政资金，已落实</w:t>
            </w:r>
          </w:p>
        </w:tc>
      </w:tr>
      <w:tr w14:paraId="2FB3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785C7DC6">
            <w:pPr>
              <w:spacing w:line="400" w:lineRule="exact"/>
              <w:jc w:val="center"/>
              <w:rPr>
                <w:rFonts w:ascii="宋体" w:hAnsi="宋体" w:cs="宋体"/>
                <w:sz w:val="24"/>
                <w:highlight w:val="none"/>
              </w:rPr>
            </w:pPr>
            <w:r>
              <w:rPr>
                <w:rFonts w:hint="eastAsia" w:ascii="宋体" w:hAnsi="宋体" w:cs="宋体"/>
                <w:sz w:val="24"/>
                <w:highlight w:val="none"/>
              </w:rPr>
              <w:t>5</w:t>
            </w:r>
          </w:p>
        </w:tc>
        <w:tc>
          <w:tcPr>
            <w:tcW w:w="1997" w:type="dxa"/>
            <w:vAlign w:val="center"/>
          </w:tcPr>
          <w:p w14:paraId="26F4BA0B">
            <w:pPr>
              <w:spacing w:line="400" w:lineRule="exact"/>
              <w:rPr>
                <w:rFonts w:ascii="宋体" w:hAnsi="宋体" w:cs="宋体"/>
                <w:sz w:val="24"/>
                <w:highlight w:val="none"/>
              </w:rPr>
            </w:pPr>
            <w:r>
              <w:rPr>
                <w:rFonts w:hint="eastAsia" w:ascii="宋体" w:hAnsi="宋体" w:cs="宋体"/>
                <w:sz w:val="24"/>
                <w:highlight w:val="none"/>
              </w:rPr>
              <w:t xml:space="preserve">    采购内容</w:t>
            </w:r>
          </w:p>
        </w:tc>
        <w:tc>
          <w:tcPr>
            <w:tcW w:w="6442" w:type="dxa"/>
            <w:vAlign w:val="center"/>
          </w:tcPr>
          <w:p w14:paraId="7B1547A9">
            <w:pPr>
              <w:spacing w:line="400" w:lineRule="exact"/>
              <w:rPr>
                <w:rFonts w:ascii="宋体" w:hAnsi="宋体" w:cs="宋体"/>
                <w:sz w:val="24"/>
                <w:highlight w:val="none"/>
              </w:rPr>
            </w:pPr>
            <w:r>
              <w:rPr>
                <w:rFonts w:hint="eastAsia" w:ascii="宋体" w:hAnsi="宋体" w:cs="宋体"/>
                <w:sz w:val="24"/>
                <w:highlight w:val="none"/>
              </w:rPr>
              <w:t>包括LED显示屏、录音录像设备、视频定位设备、门禁设备、对讲系统、采集仪、人脸识别终端、应用服务器、交换机、智能一体化询问设备、管理系统等设备的采购安装、集成及售后服务等，具体内容详见招标文件。</w:t>
            </w:r>
          </w:p>
        </w:tc>
      </w:tr>
      <w:tr w14:paraId="15AA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19E7C0FC">
            <w:pPr>
              <w:spacing w:line="400" w:lineRule="exact"/>
              <w:jc w:val="center"/>
              <w:rPr>
                <w:rFonts w:ascii="宋体" w:hAnsi="宋体" w:cs="宋体"/>
                <w:sz w:val="24"/>
                <w:highlight w:val="none"/>
              </w:rPr>
            </w:pPr>
            <w:r>
              <w:rPr>
                <w:rFonts w:hint="eastAsia" w:ascii="宋体" w:hAnsi="宋体" w:cs="宋体"/>
                <w:sz w:val="24"/>
                <w:highlight w:val="none"/>
              </w:rPr>
              <w:t>6</w:t>
            </w:r>
          </w:p>
        </w:tc>
        <w:tc>
          <w:tcPr>
            <w:tcW w:w="1997" w:type="dxa"/>
            <w:vAlign w:val="center"/>
          </w:tcPr>
          <w:p w14:paraId="043A591F">
            <w:pPr>
              <w:spacing w:line="400" w:lineRule="exact"/>
              <w:jc w:val="center"/>
              <w:rPr>
                <w:rFonts w:ascii="宋体" w:hAnsi="宋体" w:cs="宋体"/>
                <w:sz w:val="24"/>
                <w:highlight w:val="none"/>
              </w:rPr>
            </w:pPr>
            <w:r>
              <w:rPr>
                <w:rFonts w:hint="eastAsia" w:ascii="宋体" w:hAnsi="宋体" w:cs="宋体"/>
                <w:sz w:val="24"/>
                <w:highlight w:val="none"/>
              </w:rPr>
              <w:t>采购方式</w:t>
            </w:r>
          </w:p>
        </w:tc>
        <w:tc>
          <w:tcPr>
            <w:tcW w:w="6442" w:type="dxa"/>
            <w:vAlign w:val="center"/>
          </w:tcPr>
          <w:p w14:paraId="19491C8E">
            <w:pPr>
              <w:spacing w:line="400" w:lineRule="exact"/>
              <w:rPr>
                <w:rStyle w:val="26"/>
                <w:rFonts w:ascii="宋体" w:hAnsi="宋体" w:cs="宋体"/>
                <w:b w:val="0"/>
                <w:sz w:val="24"/>
                <w:highlight w:val="none"/>
              </w:rPr>
            </w:pPr>
            <w:r>
              <w:rPr>
                <w:rStyle w:val="26"/>
                <w:rFonts w:hint="eastAsia" w:ascii="宋体" w:hAnsi="宋体" w:cs="宋体"/>
                <w:b w:val="0"/>
                <w:sz w:val="24"/>
                <w:highlight w:val="none"/>
              </w:rPr>
              <w:t>公开招标</w:t>
            </w:r>
          </w:p>
        </w:tc>
      </w:tr>
      <w:tr w14:paraId="2C6B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042B1743">
            <w:pPr>
              <w:spacing w:line="400" w:lineRule="exact"/>
              <w:jc w:val="center"/>
              <w:rPr>
                <w:rFonts w:ascii="宋体" w:hAnsi="宋体" w:cs="宋体"/>
                <w:sz w:val="24"/>
                <w:highlight w:val="none"/>
              </w:rPr>
            </w:pPr>
            <w:r>
              <w:rPr>
                <w:rFonts w:hint="eastAsia" w:ascii="宋体" w:hAnsi="宋体" w:cs="宋体"/>
                <w:sz w:val="24"/>
                <w:highlight w:val="none"/>
              </w:rPr>
              <w:t>7</w:t>
            </w:r>
          </w:p>
        </w:tc>
        <w:tc>
          <w:tcPr>
            <w:tcW w:w="1997" w:type="dxa"/>
            <w:vAlign w:val="center"/>
          </w:tcPr>
          <w:p w14:paraId="2701D68A">
            <w:pPr>
              <w:spacing w:line="400" w:lineRule="exact"/>
              <w:jc w:val="center"/>
              <w:rPr>
                <w:rFonts w:ascii="宋体" w:hAnsi="宋体" w:cs="宋体"/>
                <w:sz w:val="24"/>
                <w:highlight w:val="none"/>
              </w:rPr>
            </w:pPr>
            <w:r>
              <w:rPr>
                <w:rFonts w:hint="eastAsia" w:ascii="宋体" w:hAnsi="宋体" w:cs="宋体"/>
                <w:sz w:val="24"/>
                <w:highlight w:val="none"/>
              </w:rPr>
              <w:t>采购项目属性</w:t>
            </w:r>
          </w:p>
        </w:tc>
        <w:tc>
          <w:tcPr>
            <w:tcW w:w="6442" w:type="dxa"/>
            <w:vAlign w:val="center"/>
          </w:tcPr>
          <w:p w14:paraId="23C4E26E">
            <w:pPr>
              <w:spacing w:line="400" w:lineRule="exact"/>
              <w:rPr>
                <w:rStyle w:val="26"/>
                <w:rFonts w:ascii="宋体" w:hAnsi="宋体" w:cs="宋体"/>
                <w:b w:val="0"/>
                <w:sz w:val="24"/>
                <w:highlight w:val="none"/>
              </w:rPr>
            </w:pPr>
            <w:r>
              <w:rPr>
                <w:rFonts w:hint="eastAsia" w:ascii="宋体" w:hAnsi="宋体" w:cs="宋体"/>
                <w:sz w:val="24"/>
                <w:highlight w:val="none"/>
              </w:rPr>
              <w:sym w:font="Wingdings 2" w:char="0052"/>
            </w:r>
            <w:r>
              <w:rPr>
                <w:rFonts w:hint="eastAsia" w:ascii="宋体" w:hAnsi="宋体" w:cs="宋体"/>
                <w:sz w:val="24"/>
                <w:highlight w:val="none"/>
              </w:rPr>
              <w:t>货物      □ 服务       □工程</w:t>
            </w:r>
          </w:p>
        </w:tc>
      </w:tr>
      <w:tr w14:paraId="7B13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7" w:type="dxa"/>
            <w:shd w:val="clear" w:color="auto" w:fill="auto"/>
            <w:vAlign w:val="center"/>
          </w:tcPr>
          <w:p w14:paraId="77EE058E">
            <w:pPr>
              <w:spacing w:line="400" w:lineRule="exact"/>
              <w:jc w:val="center"/>
              <w:rPr>
                <w:rFonts w:ascii="宋体" w:hAnsi="宋体" w:cs="宋体"/>
                <w:sz w:val="24"/>
                <w:highlight w:val="none"/>
              </w:rPr>
            </w:pPr>
            <w:r>
              <w:rPr>
                <w:rFonts w:hint="eastAsia" w:ascii="宋体" w:hAnsi="宋体" w:cs="宋体"/>
                <w:sz w:val="24"/>
                <w:highlight w:val="none"/>
              </w:rPr>
              <w:t>8</w:t>
            </w:r>
          </w:p>
        </w:tc>
        <w:tc>
          <w:tcPr>
            <w:tcW w:w="1997" w:type="dxa"/>
            <w:shd w:val="clear" w:color="auto" w:fill="auto"/>
            <w:vAlign w:val="center"/>
          </w:tcPr>
          <w:p w14:paraId="249E00A1">
            <w:pPr>
              <w:spacing w:line="400" w:lineRule="exact"/>
              <w:jc w:val="center"/>
              <w:rPr>
                <w:rFonts w:ascii="宋体" w:hAnsi="宋体" w:cs="宋体"/>
                <w:bCs/>
                <w:spacing w:val="4"/>
                <w:sz w:val="24"/>
                <w:highlight w:val="none"/>
              </w:rPr>
            </w:pPr>
            <w:r>
              <w:rPr>
                <w:rStyle w:val="33"/>
                <w:rFonts w:hint="eastAsia" w:ascii="宋体" w:hAnsi="宋体" w:cs="宋体"/>
                <w:sz w:val="24"/>
                <w:highlight w:val="none"/>
                <w:lang w:val="en-US"/>
              </w:rPr>
              <w:t>供货期</w:t>
            </w:r>
          </w:p>
        </w:tc>
        <w:tc>
          <w:tcPr>
            <w:tcW w:w="6442" w:type="dxa"/>
            <w:shd w:val="clear" w:color="auto" w:fill="auto"/>
            <w:vAlign w:val="center"/>
          </w:tcPr>
          <w:p w14:paraId="7B8B1987">
            <w:pPr>
              <w:spacing w:line="380" w:lineRule="exact"/>
              <w:jc w:val="left"/>
              <w:rPr>
                <w:rFonts w:ascii="宋体" w:hAnsi="宋体" w:cs="宋体"/>
                <w:sz w:val="24"/>
                <w:highlight w:val="none"/>
              </w:rPr>
            </w:pPr>
            <w:r>
              <w:rPr>
                <w:rFonts w:hint="eastAsia" w:ascii="宋体" w:hAnsi="宋体" w:cs="宋体"/>
                <w:bCs/>
                <w:spacing w:val="4"/>
                <w:sz w:val="24"/>
                <w:highlight w:val="none"/>
              </w:rPr>
              <w:t>90日历天内供货安装完毕。</w:t>
            </w:r>
          </w:p>
        </w:tc>
      </w:tr>
      <w:tr w14:paraId="5769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77" w:type="dxa"/>
            <w:shd w:val="clear" w:color="auto" w:fill="auto"/>
            <w:vAlign w:val="center"/>
          </w:tcPr>
          <w:p w14:paraId="514114C5">
            <w:pPr>
              <w:spacing w:line="400" w:lineRule="exact"/>
              <w:jc w:val="center"/>
              <w:rPr>
                <w:rFonts w:ascii="宋体" w:hAnsi="宋体" w:cs="宋体"/>
                <w:sz w:val="24"/>
                <w:highlight w:val="none"/>
              </w:rPr>
            </w:pPr>
            <w:r>
              <w:rPr>
                <w:rFonts w:hint="eastAsia" w:ascii="宋体" w:hAnsi="宋体" w:cs="宋体"/>
                <w:sz w:val="24"/>
                <w:highlight w:val="none"/>
              </w:rPr>
              <w:t>9</w:t>
            </w:r>
          </w:p>
        </w:tc>
        <w:tc>
          <w:tcPr>
            <w:tcW w:w="1997" w:type="dxa"/>
            <w:vAlign w:val="center"/>
          </w:tcPr>
          <w:p w14:paraId="06B8AAA8">
            <w:pPr>
              <w:spacing w:line="400" w:lineRule="exact"/>
              <w:jc w:val="center"/>
              <w:rPr>
                <w:rFonts w:ascii="宋体" w:hAnsi="宋体" w:cs="宋体"/>
                <w:bCs/>
                <w:spacing w:val="4"/>
                <w:sz w:val="24"/>
                <w:highlight w:val="none"/>
              </w:rPr>
            </w:pPr>
            <w:r>
              <w:rPr>
                <w:rFonts w:hint="eastAsia" w:ascii="宋体" w:hAnsi="宋体" w:cs="宋体"/>
                <w:bCs/>
                <w:spacing w:val="4"/>
                <w:sz w:val="24"/>
                <w:highlight w:val="none"/>
              </w:rPr>
              <w:t>合同履行期限</w:t>
            </w:r>
          </w:p>
        </w:tc>
        <w:tc>
          <w:tcPr>
            <w:tcW w:w="6442" w:type="dxa"/>
            <w:vAlign w:val="center"/>
          </w:tcPr>
          <w:p w14:paraId="7E13BB09">
            <w:pPr>
              <w:spacing w:line="400" w:lineRule="exact"/>
              <w:rPr>
                <w:rFonts w:ascii="宋体" w:hAnsi="宋体" w:cs="宋体"/>
                <w:sz w:val="24"/>
                <w:highlight w:val="none"/>
              </w:rPr>
            </w:pPr>
            <w:r>
              <w:rPr>
                <w:rFonts w:hint="eastAsia" w:ascii="宋体" w:hAnsi="宋体" w:cs="宋体"/>
                <w:bCs/>
                <w:spacing w:val="4"/>
                <w:sz w:val="24"/>
                <w:highlight w:val="none"/>
              </w:rPr>
              <w:t>同</w:t>
            </w:r>
            <w:r>
              <w:rPr>
                <w:rFonts w:hint="eastAsia" w:ascii="宋体" w:hAnsi="宋体" w:cs="宋体"/>
                <w:bCs/>
                <w:spacing w:val="4"/>
                <w:sz w:val="24"/>
                <w:highlight w:val="none"/>
                <w:lang w:val="en-US" w:eastAsia="zh-CN"/>
              </w:rPr>
              <w:t>供货期</w:t>
            </w:r>
            <w:r>
              <w:rPr>
                <w:rFonts w:hint="eastAsia" w:ascii="宋体" w:hAnsi="宋体" w:cs="宋体"/>
                <w:bCs/>
                <w:spacing w:val="4"/>
                <w:sz w:val="24"/>
                <w:highlight w:val="none"/>
              </w:rPr>
              <w:t>。</w:t>
            </w:r>
          </w:p>
        </w:tc>
      </w:tr>
      <w:tr w14:paraId="686D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shd w:val="clear" w:color="auto" w:fill="auto"/>
            <w:vAlign w:val="center"/>
          </w:tcPr>
          <w:p w14:paraId="6F069187">
            <w:pPr>
              <w:spacing w:line="400" w:lineRule="exact"/>
              <w:jc w:val="center"/>
              <w:rPr>
                <w:rFonts w:ascii="宋体" w:hAnsi="宋体" w:cs="宋体"/>
                <w:sz w:val="24"/>
                <w:highlight w:val="none"/>
              </w:rPr>
            </w:pPr>
            <w:r>
              <w:rPr>
                <w:rFonts w:hint="eastAsia" w:ascii="宋体" w:hAnsi="宋体" w:cs="宋体"/>
                <w:sz w:val="24"/>
                <w:highlight w:val="none"/>
              </w:rPr>
              <w:t>10</w:t>
            </w:r>
          </w:p>
        </w:tc>
        <w:tc>
          <w:tcPr>
            <w:tcW w:w="1997" w:type="dxa"/>
            <w:vAlign w:val="center"/>
          </w:tcPr>
          <w:p w14:paraId="4B6DB414">
            <w:pPr>
              <w:spacing w:line="400" w:lineRule="exact"/>
              <w:jc w:val="center"/>
              <w:rPr>
                <w:rFonts w:ascii="宋体" w:hAnsi="宋体" w:cs="宋体"/>
                <w:sz w:val="24"/>
                <w:highlight w:val="none"/>
              </w:rPr>
            </w:pPr>
            <w:r>
              <w:rPr>
                <w:rFonts w:hint="eastAsia" w:ascii="宋体" w:hAnsi="宋体" w:cs="宋体"/>
                <w:sz w:val="24"/>
                <w:highlight w:val="none"/>
              </w:rPr>
              <w:t>服务地点</w:t>
            </w:r>
          </w:p>
        </w:tc>
        <w:tc>
          <w:tcPr>
            <w:tcW w:w="6442" w:type="dxa"/>
            <w:vAlign w:val="center"/>
          </w:tcPr>
          <w:p w14:paraId="1264DEF5">
            <w:pPr>
              <w:spacing w:line="400" w:lineRule="exact"/>
              <w:jc w:val="left"/>
              <w:rPr>
                <w:rFonts w:ascii="宋体" w:hAnsi="宋体" w:cs="宋体"/>
                <w:sz w:val="24"/>
                <w:highlight w:val="none"/>
              </w:rPr>
            </w:pPr>
            <w:r>
              <w:rPr>
                <w:rFonts w:hint="eastAsia" w:ascii="宋体" w:hAnsi="宋体" w:cs="宋体"/>
                <w:sz w:val="24"/>
                <w:highlight w:val="none"/>
              </w:rPr>
              <w:t>采购人指定地点</w:t>
            </w:r>
          </w:p>
        </w:tc>
      </w:tr>
      <w:tr w14:paraId="336D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DB88BBB">
            <w:pPr>
              <w:spacing w:line="400" w:lineRule="exact"/>
              <w:jc w:val="center"/>
              <w:rPr>
                <w:rFonts w:ascii="宋体" w:hAnsi="宋体" w:cs="宋体"/>
                <w:sz w:val="24"/>
                <w:highlight w:val="none"/>
              </w:rPr>
            </w:pPr>
            <w:r>
              <w:rPr>
                <w:rFonts w:hint="eastAsia" w:ascii="宋体" w:hAnsi="宋体" w:cs="宋体"/>
                <w:sz w:val="24"/>
                <w:highlight w:val="none"/>
              </w:rPr>
              <w:t>11</w:t>
            </w:r>
          </w:p>
        </w:tc>
        <w:tc>
          <w:tcPr>
            <w:tcW w:w="1997" w:type="dxa"/>
            <w:vAlign w:val="center"/>
          </w:tcPr>
          <w:p w14:paraId="67E8F478">
            <w:pPr>
              <w:spacing w:line="400" w:lineRule="exact"/>
              <w:jc w:val="center"/>
              <w:rPr>
                <w:rFonts w:ascii="宋体" w:hAnsi="宋体" w:cs="宋体"/>
                <w:sz w:val="24"/>
                <w:highlight w:val="none"/>
              </w:rPr>
            </w:pPr>
            <w:r>
              <w:rPr>
                <w:rStyle w:val="33"/>
                <w:rFonts w:hint="eastAsia" w:ascii="宋体" w:hAnsi="宋体" w:cs="宋体"/>
                <w:sz w:val="24"/>
                <w:highlight w:val="none"/>
              </w:rPr>
              <w:t>质量要求</w:t>
            </w:r>
          </w:p>
        </w:tc>
        <w:tc>
          <w:tcPr>
            <w:tcW w:w="6442" w:type="dxa"/>
            <w:vAlign w:val="center"/>
          </w:tcPr>
          <w:p w14:paraId="4C4D111F">
            <w:pPr>
              <w:spacing w:line="400" w:lineRule="exact"/>
              <w:rPr>
                <w:rFonts w:ascii="宋体" w:hAnsi="宋体" w:cs="宋体"/>
                <w:b/>
                <w:sz w:val="24"/>
                <w:highlight w:val="none"/>
              </w:rPr>
            </w:pPr>
            <w:r>
              <w:rPr>
                <w:rStyle w:val="33"/>
                <w:rFonts w:hint="eastAsia" w:ascii="宋体" w:hAnsi="宋体" w:cs="宋体"/>
                <w:sz w:val="24"/>
                <w:highlight w:val="none"/>
              </w:rPr>
              <w:t>合格，</w:t>
            </w:r>
            <w:r>
              <w:rPr>
                <w:rStyle w:val="33"/>
                <w:rFonts w:hint="eastAsia" w:ascii="宋体" w:hAnsi="宋体" w:cs="宋体"/>
                <w:sz w:val="24"/>
                <w:highlight w:val="none"/>
                <w:lang w:val="zh-CN"/>
              </w:rPr>
              <w:t>符合国家和行业现行标准规定。</w:t>
            </w:r>
          </w:p>
        </w:tc>
      </w:tr>
      <w:tr w14:paraId="635C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732812FB">
            <w:pPr>
              <w:spacing w:line="400" w:lineRule="exact"/>
              <w:jc w:val="center"/>
              <w:rPr>
                <w:rFonts w:ascii="宋体" w:hAnsi="宋体" w:cs="宋体"/>
                <w:sz w:val="24"/>
                <w:highlight w:val="none"/>
              </w:rPr>
            </w:pPr>
          </w:p>
        </w:tc>
        <w:tc>
          <w:tcPr>
            <w:tcW w:w="1997" w:type="dxa"/>
            <w:vAlign w:val="center"/>
          </w:tcPr>
          <w:p w14:paraId="4C0B7599">
            <w:pPr>
              <w:spacing w:line="400" w:lineRule="exact"/>
              <w:jc w:val="center"/>
              <w:rPr>
                <w:rStyle w:val="33"/>
                <w:rFonts w:ascii="宋体" w:hAnsi="宋体" w:cs="宋体"/>
                <w:sz w:val="24"/>
                <w:highlight w:val="none"/>
              </w:rPr>
            </w:pPr>
            <w:r>
              <w:rPr>
                <w:rStyle w:val="33"/>
                <w:rFonts w:hint="eastAsia" w:ascii="宋体" w:hAnsi="宋体" w:cs="宋体"/>
                <w:sz w:val="24"/>
                <w:highlight w:val="none"/>
              </w:rPr>
              <w:t>质保期</w:t>
            </w:r>
          </w:p>
        </w:tc>
        <w:tc>
          <w:tcPr>
            <w:tcW w:w="6442" w:type="dxa"/>
            <w:vAlign w:val="center"/>
          </w:tcPr>
          <w:p w14:paraId="28A9925C">
            <w:pPr>
              <w:spacing w:line="400" w:lineRule="exact"/>
              <w:rPr>
                <w:rStyle w:val="33"/>
                <w:rFonts w:ascii="宋体" w:hAnsi="宋体" w:cs="宋体"/>
                <w:sz w:val="24"/>
                <w:highlight w:val="none"/>
              </w:rPr>
            </w:pPr>
            <w:r>
              <w:rPr>
                <w:rStyle w:val="33"/>
                <w:rFonts w:hint="eastAsia" w:ascii="宋体" w:hAnsi="宋体" w:cs="宋体"/>
                <w:sz w:val="24"/>
                <w:highlight w:val="none"/>
              </w:rPr>
              <w:t xml:space="preserve">3年 </w:t>
            </w:r>
          </w:p>
        </w:tc>
      </w:tr>
      <w:tr w14:paraId="554F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1CBF6AE7">
            <w:pPr>
              <w:spacing w:line="400" w:lineRule="exact"/>
              <w:jc w:val="center"/>
              <w:rPr>
                <w:rFonts w:ascii="宋体" w:hAnsi="宋体" w:cs="宋体"/>
                <w:sz w:val="24"/>
                <w:highlight w:val="none"/>
              </w:rPr>
            </w:pPr>
            <w:r>
              <w:rPr>
                <w:rFonts w:hint="eastAsia" w:ascii="宋体" w:hAnsi="宋体" w:cs="宋体"/>
                <w:sz w:val="24"/>
                <w:highlight w:val="none"/>
              </w:rPr>
              <w:t>12</w:t>
            </w:r>
          </w:p>
        </w:tc>
        <w:tc>
          <w:tcPr>
            <w:tcW w:w="1997" w:type="dxa"/>
            <w:vAlign w:val="center"/>
          </w:tcPr>
          <w:p w14:paraId="1148C62F">
            <w:pPr>
              <w:spacing w:line="400" w:lineRule="exact"/>
              <w:rPr>
                <w:rStyle w:val="33"/>
                <w:rFonts w:ascii="宋体" w:hAnsi="宋体" w:cs="宋体"/>
                <w:sz w:val="24"/>
                <w:highlight w:val="none"/>
                <w:lang w:val="zh-CN"/>
              </w:rPr>
            </w:pPr>
            <w:r>
              <w:rPr>
                <w:rStyle w:val="33"/>
                <w:rFonts w:hint="eastAsia" w:ascii="宋体" w:hAnsi="宋体" w:cs="宋体"/>
                <w:sz w:val="24"/>
                <w:highlight w:val="none"/>
                <w:lang w:val="zh-CN"/>
              </w:rPr>
              <w:t>投标人资格要求</w:t>
            </w:r>
          </w:p>
        </w:tc>
        <w:tc>
          <w:tcPr>
            <w:tcW w:w="6442" w:type="dxa"/>
            <w:vAlign w:val="center"/>
          </w:tcPr>
          <w:p w14:paraId="44651BE5">
            <w:pPr>
              <w:spacing w:line="400" w:lineRule="exact"/>
              <w:rPr>
                <w:rStyle w:val="33"/>
                <w:rFonts w:ascii="宋体" w:hAnsi="宋体" w:cs="宋体"/>
                <w:sz w:val="24"/>
                <w:highlight w:val="none"/>
                <w:lang w:val="zh-CN"/>
              </w:rPr>
            </w:pPr>
            <w:r>
              <w:rPr>
                <w:rStyle w:val="33"/>
                <w:rFonts w:hint="eastAsia" w:ascii="宋体" w:hAnsi="宋体" w:cs="宋体"/>
                <w:sz w:val="24"/>
                <w:highlight w:val="none"/>
              </w:rPr>
              <w:t>符合招标公告“二、申请人资格要求”</w:t>
            </w:r>
          </w:p>
        </w:tc>
      </w:tr>
      <w:tr w14:paraId="4C42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797130EE">
            <w:pPr>
              <w:spacing w:line="400" w:lineRule="exact"/>
              <w:jc w:val="center"/>
              <w:rPr>
                <w:rFonts w:ascii="宋体" w:hAnsi="宋体" w:cs="宋体"/>
                <w:sz w:val="24"/>
                <w:highlight w:val="none"/>
              </w:rPr>
            </w:pPr>
            <w:r>
              <w:rPr>
                <w:rFonts w:hint="eastAsia" w:ascii="宋体" w:hAnsi="宋体" w:cs="宋体"/>
                <w:sz w:val="24"/>
                <w:highlight w:val="none"/>
              </w:rPr>
              <w:t>13</w:t>
            </w:r>
          </w:p>
        </w:tc>
        <w:tc>
          <w:tcPr>
            <w:tcW w:w="1997" w:type="dxa"/>
            <w:vAlign w:val="center"/>
          </w:tcPr>
          <w:p w14:paraId="5175994D">
            <w:pPr>
              <w:spacing w:line="400" w:lineRule="exact"/>
              <w:jc w:val="center"/>
              <w:rPr>
                <w:rFonts w:ascii="宋体" w:hAnsi="宋体" w:cs="宋体"/>
                <w:sz w:val="24"/>
                <w:highlight w:val="none"/>
              </w:rPr>
            </w:pPr>
            <w:r>
              <w:rPr>
                <w:rFonts w:hint="eastAsia" w:ascii="宋体" w:hAnsi="宋体" w:cs="宋体"/>
                <w:sz w:val="24"/>
                <w:highlight w:val="none"/>
              </w:rPr>
              <w:t>是否接受联合体投标</w:t>
            </w:r>
          </w:p>
        </w:tc>
        <w:tc>
          <w:tcPr>
            <w:tcW w:w="6442" w:type="dxa"/>
            <w:vAlign w:val="center"/>
          </w:tcPr>
          <w:p w14:paraId="12195034">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不接受</w:t>
            </w:r>
          </w:p>
          <w:p w14:paraId="70C80F80">
            <w:pPr>
              <w:spacing w:line="400" w:lineRule="exact"/>
              <w:rPr>
                <w:rFonts w:ascii="宋体" w:hAnsi="宋体" w:cs="宋体"/>
                <w:sz w:val="24"/>
                <w:highlight w:val="none"/>
              </w:rPr>
            </w:pPr>
            <w:r>
              <w:rPr>
                <w:rFonts w:hint="eastAsia" w:ascii="宋体" w:hAnsi="宋体" w:cs="宋体"/>
                <w:sz w:val="24"/>
                <w:highlight w:val="none"/>
              </w:rPr>
              <w:t>□接受</w:t>
            </w:r>
          </w:p>
        </w:tc>
      </w:tr>
      <w:tr w14:paraId="266F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AF3168B">
            <w:pPr>
              <w:spacing w:line="400" w:lineRule="exact"/>
              <w:jc w:val="center"/>
              <w:rPr>
                <w:rFonts w:ascii="宋体" w:hAnsi="宋体" w:cs="宋体"/>
                <w:sz w:val="24"/>
                <w:highlight w:val="none"/>
              </w:rPr>
            </w:pPr>
            <w:r>
              <w:rPr>
                <w:rFonts w:hint="eastAsia" w:ascii="宋体" w:hAnsi="宋体" w:cs="宋体"/>
                <w:sz w:val="24"/>
                <w:highlight w:val="none"/>
              </w:rPr>
              <w:t>14</w:t>
            </w:r>
          </w:p>
        </w:tc>
        <w:tc>
          <w:tcPr>
            <w:tcW w:w="1997" w:type="dxa"/>
            <w:vAlign w:val="center"/>
          </w:tcPr>
          <w:p w14:paraId="03F740B2">
            <w:pPr>
              <w:spacing w:line="400" w:lineRule="exact"/>
              <w:jc w:val="center"/>
              <w:rPr>
                <w:rFonts w:ascii="宋体" w:hAnsi="宋体" w:cs="宋体"/>
                <w:sz w:val="24"/>
                <w:highlight w:val="none"/>
              </w:rPr>
            </w:pPr>
            <w:r>
              <w:rPr>
                <w:rFonts w:hint="eastAsia" w:ascii="宋体" w:hAnsi="宋体" w:cs="宋体"/>
                <w:sz w:val="24"/>
                <w:highlight w:val="none"/>
              </w:rPr>
              <w:t>踏勘现场及答疑</w:t>
            </w:r>
          </w:p>
        </w:tc>
        <w:tc>
          <w:tcPr>
            <w:tcW w:w="6442" w:type="dxa"/>
            <w:vAlign w:val="center"/>
          </w:tcPr>
          <w:p w14:paraId="2F9B16DB">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不组织</w:t>
            </w:r>
          </w:p>
          <w:p w14:paraId="385F73B6">
            <w:pPr>
              <w:spacing w:line="400" w:lineRule="exact"/>
              <w:rPr>
                <w:rFonts w:ascii="宋体" w:hAnsi="宋体" w:cs="宋体"/>
                <w:sz w:val="24"/>
                <w:highlight w:val="none"/>
              </w:rPr>
            </w:pPr>
            <w:r>
              <w:rPr>
                <w:rFonts w:hint="eastAsia" w:ascii="宋体" w:hAnsi="宋体" w:cs="宋体"/>
                <w:sz w:val="24"/>
                <w:highlight w:val="none"/>
              </w:rPr>
              <w:t>□组织</w:t>
            </w:r>
          </w:p>
        </w:tc>
      </w:tr>
      <w:tr w14:paraId="3380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1F15FCA7">
            <w:pPr>
              <w:spacing w:line="400" w:lineRule="exact"/>
              <w:jc w:val="center"/>
              <w:rPr>
                <w:rFonts w:ascii="宋体" w:hAnsi="宋体" w:cs="宋体"/>
                <w:sz w:val="24"/>
                <w:highlight w:val="none"/>
              </w:rPr>
            </w:pPr>
            <w:r>
              <w:rPr>
                <w:rFonts w:hint="eastAsia" w:ascii="宋体" w:hAnsi="宋体" w:cs="宋体"/>
                <w:sz w:val="24"/>
                <w:highlight w:val="none"/>
              </w:rPr>
              <w:t>15</w:t>
            </w:r>
          </w:p>
        </w:tc>
        <w:tc>
          <w:tcPr>
            <w:tcW w:w="1997" w:type="dxa"/>
            <w:vAlign w:val="center"/>
          </w:tcPr>
          <w:p w14:paraId="2783EF1E">
            <w:pPr>
              <w:spacing w:line="400" w:lineRule="exact"/>
              <w:jc w:val="center"/>
              <w:rPr>
                <w:rFonts w:ascii="宋体" w:hAnsi="宋体" w:cs="宋体"/>
                <w:sz w:val="24"/>
                <w:highlight w:val="none"/>
              </w:rPr>
            </w:pPr>
            <w:r>
              <w:rPr>
                <w:rFonts w:hint="eastAsia" w:ascii="宋体" w:hAnsi="宋体" w:cs="宋体"/>
                <w:sz w:val="24"/>
                <w:highlight w:val="none"/>
              </w:rPr>
              <w:t>投标预备会</w:t>
            </w:r>
          </w:p>
        </w:tc>
        <w:tc>
          <w:tcPr>
            <w:tcW w:w="6442" w:type="dxa"/>
            <w:vAlign w:val="center"/>
          </w:tcPr>
          <w:p w14:paraId="36D26FDD">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不召开□召开</w:t>
            </w:r>
          </w:p>
        </w:tc>
      </w:tr>
      <w:tr w14:paraId="2BB8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19F0B01">
            <w:pPr>
              <w:spacing w:line="400" w:lineRule="exact"/>
              <w:jc w:val="center"/>
              <w:rPr>
                <w:rFonts w:ascii="宋体" w:hAnsi="宋体" w:cs="宋体"/>
                <w:sz w:val="24"/>
                <w:highlight w:val="none"/>
              </w:rPr>
            </w:pPr>
            <w:r>
              <w:rPr>
                <w:rFonts w:hint="eastAsia" w:ascii="宋体" w:hAnsi="宋体" w:cs="宋体"/>
                <w:sz w:val="24"/>
                <w:highlight w:val="none"/>
              </w:rPr>
              <w:t>16</w:t>
            </w:r>
          </w:p>
        </w:tc>
        <w:tc>
          <w:tcPr>
            <w:tcW w:w="1997" w:type="dxa"/>
            <w:vAlign w:val="center"/>
          </w:tcPr>
          <w:p w14:paraId="3931F424">
            <w:pPr>
              <w:spacing w:line="400" w:lineRule="exact"/>
              <w:jc w:val="center"/>
              <w:rPr>
                <w:rFonts w:ascii="宋体" w:hAnsi="宋体" w:cs="宋体"/>
                <w:sz w:val="24"/>
                <w:highlight w:val="none"/>
              </w:rPr>
            </w:pPr>
            <w:r>
              <w:rPr>
                <w:rFonts w:hint="eastAsia" w:ascii="宋体" w:hAnsi="宋体" w:cs="宋体"/>
                <w:sz w:val="24"/>
                <w:highlight w:val="none"/>
              </w:rPr>
              <w:t>技术偏离</w:t>
            </w:r>
          </w:p>
        </w:tc>
        <w:tc>
          <w:tcPr>
            <w:tcW w:w="6442" w:type="dxa"/>
            <w:vAlign w:val="center"/>
          </w:tcPr>
          <w:p w14:paraId="28348028">
            <w:pPr>
              <w:spacing w:line="400" w:lineRule="exact"/>
              <w:rPr>
                <w:rFonts w:ascii="宋体" w:hAnsi="宋体" w:cs="宋体"/>
                <w:sz w:val="24"/>
                <w:highlight w:val="none"/>
              </w:rPr>
            </w:pPr>
            <w:r>
              <w:rPr>
                <w:rFonts w:hint="eastAsia" w:ascii="宋体" w:hAnsi="宋体" w:cs="宋体"/>
                <w:sz w:val="24"/>
                <w:highlight w:val="none"/>
              </w:rPr>
              <w:t>□不允许</w:t>
            </w:r>
          </w:p>
          <w:p w14:paraId="784614EE">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允许</w:t>
            </w:r>
          </w:p>
        </w:tc>
      </w:tr>
      <w:tr w14:paraId="20EA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shd w:val="clear" w:color="auto" w:fill="auto"/>
            <w:vAlign w:val="center"/>
          </w:tcPr>
          <w:p w14:paraId="50149D79">
            <w:pPr>
              <w:spacing w:line="400" w:lineRule="exact"/>
              <w:jc w:val="center"/>
              <w:rPr>
                <w:rFonts w:ascii="宋体" w:hAnsi="宋体" w:cs="宋体"/>
                <w:sz w:val="24"/>
                <w:highlight w:val="none"/>
              </w:rPr>
            </w:pPr>
            <w:r>
              <w:rPr>
                <w:rFonts w:hint="eastAsia" w:ascii="宋体" w:hAnsi="宋体" w:cs="宋体"/>
                <w:sz w:val="24"/>
                <w:highlight w:val="none"/>
              </w:rPr>
              <w:t>17</w:t>
            </w:r>
          </w:p>
        </w:tc>
        <w:tc>
          <w:tcPr>
            <w:tcW w:w="1997" w:type="dxa"/>
            <w:vAlign w:val="center"/>
          </w:tcPr>
          <w:p w14:paraId="2FDD3172">
            <w:pPr>
              <w:spacing w:line="400" w:lineRule="exact"/>
              <w:jc w:val="center"/>
              <w:rPr>
                <w:rFonts w:ascii="宋体" w:hAnsi="宋体" w:cs="宋体"/>
                <w:sz w:val="24"/>
                <w:highlight w:val="none"/>
              </w:rPr>
            </w:pPr>
            <w:r>
              <w:rPr>
                <w:rFonts w:hint="eastAsia" w:ascii="宋体" w:hAnsi="宋体" w:cs="宋体"/>
                <w:sz w:val="24"/>
                <w:highlight w:val="none"/>
              </w:rPr>
              <w:t>构成招标文件的</w:t>
            </w:r>
          </w:p>
          <w:p w14:paraId="0672FAFB">
            <w:pPr>
              <w:spacing w:line="400" w:lineRule="exact"/>
              <w:jc w:val="center"/>
              <w:rPr>
                <w:rFonts w:ascii="宋体" w:hAnsi="宋体" w:cs="宋体"/>
                <w:sz w:val="24"/>
                <w:highlight w:val="none"/>
              </w:rPr>
            </w:pPr>
            <w:r>
              <w:rPr>
                <w:rFonts w:hint="eastAsia" w:ascii="宋体" w:hAnsi="宋体" w:cs="宋体"/>
                <w:sz w:val="24"/>
                <w:highlight w:val="none"/>
              </w:rPr>
              <w:t>其他材料</w:t>
            </w:r>
          </w:p>
        </w:tc>
        <w:tc>
          <w:tcPr>
            <w:tcW w:w="6442" w:type="dxa"/>
            <w:vAlign w:val="center"/>
          </w:tcPr>
          <w:p w14:paraId="572681B9">
            <w:pPr>
              <w:spacing w:line="400" w:lineRule="exact"/>
              <w:rPr>
                <w:rFonts w:ascii="宋体" w:hAnsi="宋体" w:cs="宋体"/>
                <w:sz w:val="24"/>
                <w:highlight w:val="none"/>
              </w:rPr>
            </w:pPr>
            <w:r>
              <w:rPr>
                <w:rFonts w:hint="eastAsia" w:ascii="宋体" w:hAnsi="宋体" w:cs="宋体"/>
                <w:sz w:val="24"/>
                <w:highlight w:val="none"/>
              </w:rPr>
              <w:t>与本项目有关的解答、澄清、修改与补充等</w:t>
            </w:r>
          </w:p>
        </w:tc>
      </w:tr>
      <w:tr w14:paraId="529D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shd w:val="clear" w:color="auto" w:fill="auto"/>
            <w:vAlign w:val="center"/>
          </w:tcPr>
          <w:p w14:paraId="12F2D022">
            <w:pPr>
              <w:spacing w:line="400" w:lineRule="exact"/>
              <w:jc w:val="center"/>
              <w:rPr>
                <w:rFonts w:ascii="宋体" w:hAnsi="宋体" w:cs="宋体"/>
                <w:sz w:val="24"/>
                <w:highlight w:val="none"/>
              </w:rPr>
            </w:pPr>
            <w:r>
              <w:rPr>
                <w:rFonts w:hint="eastAsia" w:ascii="宋体" w:hAnsi="宋体" w:cs="宋体"/>
                <w:sz w:val="24"/>
                <w:highlight w:val="none"/>
              </w:rPr>
              <w:t>18</w:t>
            </w:r>
          </w:p>
        </w:tc>
        <w:tc>
          <w:tcPr>
            <w:tcW w:w="1997" w:type="dxa"/>
            <w:vAlign w:val="center"/>
          </w:tcPr>
          <w:p w14:paraId="126FF8AE">
            <w:pPr>
              <w:spacing w:line="400" w:lineRule="exact"/>
              <w:jc w:val="center"/>
              <w:rPr>
                <w:rFonts w:ascii="宋体" w:hAnsi="宋体" w:cs="宋体"/>
                <w:sz w:val="24"/>
                <w:highlight w:val="none"/>
              </w:rPr>
            </w:pPr>
            <w:r>
              <w:rPr>
                <w:rFonts w:hint="eastAsia" w:ascii="宋体" w:hAnsi="宋体" w:cs="宋体"/>
                <w:sz w:val="24"/>
                <w:highlight w:val="none"/>
              </w:rPr>
              <w:t>投标人要求澄清招标文件的截止时间</w:t>
            </w:r>
          </w:p>
        </w:tc>
        <w:tc>
          <w:tcPr>
            <w:tcW w:w="6442" w:type="dxa"/>
            <w:vAlign w:val="center"/>
          </w:tcPr>
          <w:p w14:paraId="6343C135">
            <w:pPr>
              <w:spacing w:line="400" w:lineRule="exact"/>
              <w:jc w:val="left"/>
              <w:rPr>
                <w:rFonts w:ascii="宋体" w:hAnsi="宋体" w:cs="宋体"/>
                <w:sz w:val="24"/>
                <w:highlight w:val="none"/>
              </w:rPr>
            </w:pPr>
            <w:r>
              <w:rPr>
                <w:rFonts w:hint="eastAsia" w:ascii="宋体" w:hAnsi="宋体" w:cs="宋体"/>
                <w:sz w:val="24"/>
                <w:highlight w:val="none"/>
              </w:rPr>
              <w:t>自获取招标文件之日或招标文件公告期限届满之日起7个工作日内，在电子交易系统中提出并通知到采购代理机构</w:t>
            </w:r>
          </w:p>
        </w:tc>
      </w:tr>
      <w:tr w14:paraId="5BB9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7" w:type="dxa"/>
            <w:shd w:val="clear" w:color="auto" w:fill="auto"/>
            <w:vAlign w:val="center"/>
          </w:tcPr>
          <w:p w14:paraId="1D9B965F">
            <w:pPr>
              <w:spacing w:line="400" w:lineRule="exact"/>
              <w:jc w:val="center"/>
              <w:rPr>
                <w:rFonts w:ascii="宋体" w:hAnsi="宋体" w:cs="宋体"/>
                <w:sz w:val="24"/>
                <w:highlight w:val="none"/>
              </w:rPr>
            </w:pPr>
            <w:r>
              <w:rPr>
                <w:rFonts w:hint="eastAsia" w:ascii="宋体" w:hAnsi="宋体" w:cs="宋体"/>
                <w:sz w:val="24"/>
                <w:highlight w:val="none"/>
              </w:rPr>
              <w:t>19</w:t>
            </w:r>
          </w:p>
        </w:tc>
        <w:tc>
          <w:tcPr>
            <w:tcW w:w="1997" w:type="dxa"/>
            <w:vAlign w:val="center"/>
          </w:tcPr>
          <w:p w14:paraId="747A910D">
            <w:pPr>
              <w:spacing w:line="400" w:lineRule="exact"/>
              <w:jc w:val="center"/>
              <w:rPr>
                <w:rFonts w:ascii="宋体" w:hAnsi="宋体" w:cs="宋体"/>
                <w:sz w:val="24"/>
                <w:highlight w:val="none"/>
              </w:rPr>
            </w:pPr>
            <w:r>
              <w:rPr>
                <w:rFonts w:hint="eastAsia" w:ascii="宋体" w:hAnsi="宋体" w:cs="宋体"/>
                <w:sz w:val="24"/>
                <w:highlight w:val="none"/>
              </w:rPr>
              <w:t>投标截止时间及点点</w:t>
            </w:r>
          </w:p>
        </w:tc>
        <w:tc>
          <w:tcPr>
            <w:tcW w:w="6442" w:type="dxa"/>
            <w:vAlign w:val="center"/>
          </w:tcPr>
          <w:p w14:paraId="746363EC">
            <w:pPr>
              <w:spacing w:line="400" w:lineRule="exact"/>
              <w:rPr>
                <w:rFonts w:ascii="宋体" w:hAnsi="宋体" w:cs="宋体"/>
                <w:b/>
                <w:bCs/>
                <w:sz w:val="24"/>
                <w:highlight w:val="none"/>
              </w:rPr>
            </w:pPr>
            <w:r>
              <w:rPr>
                <w:rFonts w:hint="eastAsia" w:ascii="宋体" w:hAnsi="宋体" w:cs="宋体"/>
                <w:sz w:val="24"/>
                <w:highlight w:val="none"/>
              </w:rPr>
              <w:t>2025年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w:t>
            </w:r>
            <w:r>
              <w:rPr>
                <w:rFonts w:hint="eastAsia" w:ascii="宋体" w:hAnsi="宋体" w:cs="宋体"/>
                <w:kern w:val="0"/>
                <w:sz w:val="24"/>
                <w:highlight w:val="none"/>
                <w:shd w:val="clear" w:color="auto" w:fill="FFFFFF"/>
              </w:rPr>
              <w:t>08 时40分</w:t>
            </w:r>
            <w:r>
              <w:rPr>
                <w:rFonts w:hint="eastAsia" w:ascii="宋体" w:hAnsi="宋体" w:cs="宋体"/>
                <w:sz w:val="24"/>
                <w:highlight w:val="none"/>
                <w:shd w:val="clear" w:color="auto" w:fill="FFFFFF"/>
              </w:rPr>
              <w:t>（北京时间）。</w:t>
            </w:r>
          </w:p>
          <w:p w14:paraId="20ABF78E">
            <w:pPr>
              <w:spacing w:line="400" w:lineRule="exact"/>
              <w:rPr>
                <w:rFonts w:ascii="宋体" w:hAnsi="宋体" w:cs="宋体"/>
                <w:sz w:val="24"/>
                <w:highlight w:val="none"/>
              </w:rPr>
            </w:pPr>
            <w:r>
              <w:rPr>
                <w:rFonts w:hint="eastAsia" w:ascii="宋体" w:hAnsi="宋体" w:cs="宋体"/>
                <w:sz w:val="24"/>
                <w:highlight w:val="none"/>
              </w:rPr>
              <w:t>注：全面实行在线“不见面”开标，投标人远程在线解密投标文件，不再到开标现场，投标人开标前应仔细阅读《“不见面”开标注意事项及操作流程》。</w:t>
            </w:r>
          </w:p>
        </w:tc>
      </w:tr>
      <w:tr w14:paraId="0F13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shd w:val="clear" w:color="auto" w:fill="auto"/>
            <w:vAlign w:val="center"/>
          </w:tcPr>
          <w:p w14:paraId="01FF1BD7">
            <w:pPr>
              <w:spacing w:line="400" w:lineRule="exact"/>
              <w:jc w:val="center"/>
              <w:rPr>
                <w:rFonts w:ascii="宋体" w:hAnsi="宋体" w:cs="宋体"/>
                <w:sz w:val="24"/>
                <w:highlight w:val="none"/>
              </w:rPr>
            </w:pPr>
            <w:r>
              <w:rPr>
                <w:rFonts w:hint="eastAsia" w:ascii="宋体" w:hAnsi="宋体" w:cs="宋体"/>
                <w:sz w:val="24"/>
                <w:highlight w:val="none"/>
              </w:rPr>
              <w:t>20</w:t>
            </w:r>
          </w:p>
        </w:tc>
        <w:tc>
          <w:tcPr>
            <w:tcW w:w="1997" w:type="dxa"/>
            <w:vAlign w:val="center"/>
          </w:tcPr>
          <w:p w14:paraId="16AED9AF">
            <w:pPr>
              <w:spacing w:line="400" w:lineRule="exact"/>
              <w:jc w:val="center"/>
              <w:rPr>
                <w:rFonts w:ascii="宋体" w:hAnsi="宋体" w:cs="宋体"/>
                <w:sz w:val="24"/>
                <w:highlight w:val="none"/>
              </w:rPr>
            </w:pPr>
            <w:r>
              <w:rPr>
                <w:rFonts w:hint="eastAsia" w:ascii="宋体" w:hAnsi="宋体" w:cs="宋体"/>
                <w:sz w:val="24"/>
                <w:highlight w:val="none"/>
              </w:rPr>
              <w:t>投标有效期</w:t>
            </w:r>
          </w:p>
        </w:tc>
        <w:tc>
          <w:tcPr>
            <w:tcW w:w="6442" w:type="dxa"/>
            <w:vAlign w:val="center"/>
          </w:tcPr>
          <w:p w14:paraId="61FC3BDC">
            <w:pPr>
              <w:spacing w:line="400" w:lineRule="exact"/>
              <w:jc w:val="left"/>
              <w:rPr>
                <w:rFonts w:ascii="宋体" w:hAnsi="宋体" w:cs="宋体"/>
                <w:sz w:val="24"/>
                <w:highlight w:val="none"/>
              </w:rPr>
            </w:pPr>
            <w:r>
              <w:rPr>
                <w:rFonts w:hint="eastAsia" w:ascii="宋体" w:hAnsi="宋体" w:cs="宋体"/>
                <w:sz w:val="24"/>
                <w:highlight w:val="none"/>
              </w:rPr>
              <w:t>自投标截止之日起60日历天</w:t>
            </w:r>
          </w:p>
        </w:tc>
      </w:tr>
      <w:tr w14:paraId="2EE8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7" w:type="dxa"/>
            <w:shd w:val="clear" w:color="auto" w:fill="auto"/>
            <w:vAlign w:val="center"/>
          </w:tcPr>
          <w:p w14:paraId="18238594">
            <w:pPr>
              <w:spacing w:line="400" w:lineRule="exact"/>
              <w:jc w:val="center"/>
              <w:rPr>
                <w:rFonts w:ascii="宋体" w:hAnsi="宋体" w:cs="宋体"/>
                <w:sz w:val="24"/>
                <w:highlight w:val="none"/>
              </w:rPr>
            </w:pPr>
            <w:r>
              <w:rPr>
                <w:rFonts w:hint="eastAsia" w:ascii="宋体" w:hAnsi="宋体" w:cs="宋体"/>
                <w:sz w:val="24"/>
                <w:highlight w:val="none"/>
              </w:rPr>
              <w:t>21</w:t>
            </w:r>
          </w:p>
        </w:tc>
        <w:tc>
          <w:tcPr>
            <w:tcW w:w="1997" w:type="dxa"/>
            <w:vAlign w:val="center"/>
          </w:tcPr>
          <w:p w14:paraId="05300869">
            <w:pPr>
              <w:spacing w:line="400" w:lineRule="exact"/>
              <w:jc w:val="center"/>
              <w:rPr>
                <w:rFonts w:ascii="宋体" w:hAnsi="宋体" w:cs="宋体"/>
                <w:sz w:val="24"/>
                <w:highlight w:val="none"/>
              </w:rPr>
            </w:pPr>
            <w:r>
              <w:rPr>
                <w:rFonts w:hint="eastAsia" w:ascii="宋体" w:hAnsi="宋体" w:cs="宋体"/>
                <w:sz w:val="24"/>
                <w:highlight w:val="none"/>
              </w:rPr>
              <w:t>投标保证金</w:t>
            </w:r>
          </w:p>
        </w:tc>
        <w:tc>
          <w:tcPr>
            <w:tcW w:w="6442" w:type="dxa"/>
            <w:vAlign w:val="center"/>
          </w:tcPr>
          <w:p w14:paraId="640A208A">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1FED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CDACCEC">
            <w:pPr>
              <w:spacing w:line="400" w:lineRule="exact"/>
              <w:jc w:val="center"/>
              <w:rPr>
                <w:rFonts w:ascii="宋体" w:hAnsi="宋体" w:cs="宋体"/>
                <w:sz w:val="24"/>
                <w:highlight w:val="none"/>
              </w:rPr>
            </w:pPr>
            <w:r>
              <w:rPr>
                <w:rFonts w:hint="eastAsia" w:ascii="宋体" w:hAnsi="宋体" w:cs="宋体"/>
                <w:sz w:val="24"/>
                <w:highlight w:val="none"/>
              </w:rPr>
              <w:t>22</w:t>
            </w:r>
          </w:p>
        </w:tc>
        <w:tc>
          <w:tcPr>
            <w:tcW w:w="1997" w:type="dxa"/>
            <w:vAlign w:val="center"/>
          </w:tcPr>
          <w:p w14:paraId="6B7BAF54">
            <w:pPr>
              <w:pStyle w:val="30"/>
              <w:spacing w:line="400" w:lineRule="exact"/>
              <w:jc w:val="center"/>
              <w:rPr>
                <w:highlight w:val="none"/>
              </w:rPr>
            </w:pPr>
            <w:r>
              <w:rPr>
                <w:rFonts w:hint="eastAsia"/>
                <w:bCs/>
                <w:highlight w:val="none"/>
                <w:lang w:val="zh-CN"/>
              </w:rPr>
              <w:t>电子化投标文件的签章要求</w:t>
            </w:r>
          </w:p>
        </w:tc>
        <w:tc>
          <w:tcPr>
            <w:tcW w:w="6442" w:type="dxa"/>
            <w:vAlign w:val="center"/>
          </w:tcPr>
          <w:p w14:paraId="19C13538">
            <w:pPr>
              <w:spacing w:line="400" w:lineRule="exact"/>
              <w:rPr>
                <w:rFonts w:ascii="宋体" w:hAnsi="宋体" w:cs="宋体"/>
                <w:sz w:val="24"/>
                <w:highlight w:val="none"/>
              </w:rPr>
            </w:pPr>
            <w:r>
              <w:rPr>
                <w:rFonts w:hint="eastAsia" w:ascii="宋体" w:hAnsi="宋体" w:cs="宋体"/>
                <w:sz w:val="24"/>
                <w:highlight w:val="none"/>
              </w:rPr>
              <w:t>电子化投标文件的签章</w:t>
            </w:r>
          </w:p>
          <w:p w14:paraId="5DAC6787">
            <w:pPr>
              <w:spacing w:line="400" w:lineRule="exact"/>
              <w:rPr>
                <w:rFonts w:ascii="宋体" w:hAnsi="宋体" w:cs="宋体"/>
                <w:sz w:val="24"/>
                <w:highlight w:val="none"/>
              </w:rPr>
            </w:pPr>
            <w:r>
              <w:rPr>
                <w:rFonts w:hint="eastAsia" w:ascii="宋体" w:hAnsi="宋体" w:cs="宋体"/>
                <w:sz w:val="24"/>
                <w:highlight w:val="none"/>
              </w:rPr>
              <w:t>1、投标人在生成电子化投标文件后，应对电子化投标文件进行签章，未进行签章的视为无效投标。</w:t>
            </w:r>
          </w:p>
          <w:p w14:paraId="5E72CEA8">
            <w:pPr>
              <w:spacing w:line="400" w:lineRule="exact"/>
              <w:rPr>
                <w:rFonts w:ascii="宋体" w:hAnsi="宋体" w:cs="宋体"/>
                <w:sz w:val="24"/>
                <w:highlight w:val="none"/>
              </w:rPr>
            </w:pPr>
            <w:r>
              <w:rPr>
                <w:rFonts w:hint="eastAsia" w:ascii="宋体" w:hAnsi="宋体" w:cs="宋体"/>
                <w:sz w:val="24"/>
                <w:highlight w:val="none"/>
              </w:rPr>
              <w:t>2、投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tc>
      </w:tr>
      <w:tr w14:paraId="0F16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1B283B08">
            <w:pPr>
              <w:spacing w:line="400" w:lineRule="exact"/>
              <w:jc w:val="center"/>
              <w:rPr>
                <w:rFonts w:ascii="宋体" w:hAnsi="宋体" w:cs="宋体"/>
                <w:sz w:val="24"/>
                <w:highlight w:val="none"/>
              </w:rPr>
            </w:pPr>
            <w:r>
              <w:rPr>
                <w:rFonts w:hint="eastAsia" w:ascii="宋体" w:hAnsi="宋体" w:cs="宋体"/>
                <w:sz w:val="24"/>
                <w:highlight w:val="none"/>
              </w:rPr>
              <w:t>23</w:t>
            </w:r>
          </w:p>
        </w:tc>
        <w:tc>
          <w:tcPr>
            <w:tcW w:w="1997" w:type="dxa"/>
            <w:vAlign w:val="center"/>
          </w:tcPr>
          <w:p w14:paraId="46890AD4">
            <w:pPr>
              <w:spacing w:line="400" w:lineRule="exact"/>
              <w:jc w:val="center"/>
              <w:rPr>
                <w:rFonts w:ascii="宋体" w:hAnsi="宋体" w:cs="宋体"/>
                <w:sz w:val="24"/>
                <w:highlight w:val="none"/>
              </w:rPr>
            </w:pPr>
            <w:r>
              <w:rPr>
                <w:rFonts w:hint="eastAsia" w:ascii="宋体" w:hAnsi="宋体" w:cs="宋体"/>
                <w:bCs/>
                <w:sz w:val="24"/>
                <w:highlight w:val="none"/>
                <w:lang w:val="zh-CN"/>
              </w:rPr>
              <w:t>投标文件格式及递交方式</w:t>
            </w:r>
          </w:p>
        </w:tc>
        <w:tc>
          <w:tcPr>
            <w:tcW w:w="6442" w:type="dxa"/>
            <w:vAlign w:val="center"/>
          </w:tcPr>
          <w:p w14:paraId="374C1031">
            <w:pPr>
              <w:numPr>
                <w:ilvl w:val="0"/>
                <w:numId w:val="4"/>
              </w:numPr>
              <w:spacing w:line="400" w:lineRule="exact"/>
              <w:rPr>
                <w:rFonts w:ascii="宋体" w:hAnsi="宋体" w:cs="宋体"/>
                <w:bCs/>
                <w:sz w:val="24"/>
                <w:highlight w:val="none"/>
                <w:lang w:val="zh-CN"/>
              </w:rPr>
            </w:pPr>
            <w:r>
              <w:rPr>
                <w:rFonts w:hint="eastAsia" w:ascii="宋体" w:hAnsi="宋体" w:cs="宋体"/>
                <w:bCs/>
                <w:sz w:val="24"/>
                <w:highlight w:val="none"/>
                <w:lang w:val="zh-CN"/>
              </w:rPr>
              <w:t>投标人所上传的电子化投标文件，应是通过中心投标文</w:t>
            </w:r>
          </w:p>
          <w:p w14:paraId="5E9D1D63">
            <w:pPr>
              <w:spacing w:line="400" w:lineRule="exact"/>
              <w:rPr>
                <w:rFonts w:ascii="宋体" w:hAnsi="宋体" w:cs="宋体"/>
                <w:bCs/>
                <w:sz w:val="24"/>
                <w:highlight w:val="none"/>
                <w:lang w:val="zh-CN"/>
              </w:rPr>
            </w:pPr>
            <w:r>
              <w:rPr>
                <w:rFonts w:hint="eastAsia" w:ascii="宋体" w:hAnsi="宋体" w:cs="宋体"/>
                <w:bCs/>
                <w:sz w:val="24"/>
                <w:highlight w:val="none"/>
                <w:lang w:val="zh-CN"/>
              </w:rPr>
              <w:t>件制作系统制作的，经过签章和加密后生成的电子版投标文件。生成的电子版响应文件中的主文件（项目文件格式为：xxx公司_ 项目名称.file）上传至</w:t>
            </w:r>
            <w:r>
              <w:rPr>
                <w:rFonts w:hint="eastAsia" w:ascii="宋体" w:hAnsi="宋体" w:cs="宋体"/>
                <w:sz w:val="24"/>
                <w:highlight w:val="none"/>
                <w:shd w:val="clear" w:color="auto" w:fill="FFFFFF"/>
              </w:rPr>
              <w:t>全国公共资源交易平台（河南省.平顶山市）电子交易</w:t>
            </w:r>
            <w:r>
              <w:rPr>
                <w:rFonts w:hint="eastAsia" w:ascii="宋体" w:hAnsi="宋体" w:cs="宋体"/>
                <w:bCs/>
                <w:sz w:val="24"/>
                <w:highlight w:val="none"/>
              </w:rPr>
              <w:t>系统</w:t>
            </w:r>
            <w:r>
              <w:rPr>
                <w:rFonts w:hint="eastAsia" w:ascii="宋体" w:hAnsi="宋体" w:cs="宋体"/>
                <w:bCs/>
                <w:sz w:val="24"/>
                <w:highlight w:val="none"/>
                <w:lang w:val="zh-CN"/>
              </w:rPr>
              <w:t>；</w:t>
            </w:r>
          </w:p>
          <w:p w14:paraId="0D8D876B">
            <w:pPr>
              <w:pStyle w:val="19"/>
              <w:spacing w:line="400" w:lineRule="exact"/>
              <w:ind w:firstLine="0"/>
              <w:rPr>
                <w:bCs/>
                <w:sz w:val="24"/>
                <w:szCs w:val="24"/>
                <w:highlight w:val="none"/>
              </w:rPr>
            </w:pPr>
            <w:r>
              <w:rPr>
                <w:rFonts w:hint="eastAsia"/>
                <w:bCs/>
                <w:sz w:val="24"/>
                <w:szCs w:val="24"/>
                <w:highlight w:val="none"/>
              </w:rPr>
              <w:t>注：（1）投标人投报多个标段的，根据标段制作各个标段的投标文件后上传。</w:t>
            </w:r>
          </w:p>
          <w:p w14:paraId="0E688FD7">
            <w:pPr>
              <w:pStyle w:val="19"/>
              <w:spacing w:line="400" w:lineRule="exact"/>
              <w:ind w:firstLine="0"/>
              <w:rPr>
                <w:sz w:val="24"/>
                <w:szCs w:val="24"/>
                <w:highlight w:val="none"/>
              </w:rPr>
            </w:pPr>
            <w:r>
              <w:rPr>
                <w:rFonts w:hint="eastAsia"/>
                <w:bCs/>
                <w:sz w:val="24"/>
                <w:szCs w:val="24"/>
                <w:highlight w:val="none"/>
              </w:rPr>
              <w:t>（2）电子化投标文件应在投标截止时间前成功上传至</w:t>
            </w:r>
            <w:r>
              <w:rPr>
                <w:rFonts w:hint="eastAsia"/>
                <w:sz w:val="24"/>
                <w:highlight w:val="none"/>
                <w:shd w:val="clear" w:color="auto" w:fill="FFFFFF"/>
              </w:rPr>
              <w:t>全国公共资源交易平台（河南省.平顶山市）电子交易</w:t>
            </w:r>
            <w:r>
              <w:rPr>
                <w:rFonts w:hint="eastAsia"/>
                <w:bCs/>
                <w:sz w:val="24"/>
                <w:highlight w:val="none"/>
              </w:rPr>
              <w:t>系统</w:t>
            </w:r>
            <w:r>
              <w:rPr>
                <w:rFonts w:hint="eastAsia"/>
                <w:bCs/>
                <w:sz w:val="24"/>
                <w:szCs w:val="24"/>
                <w:highlight w:val="none"/>
              </w:rPr>
              <w:t>。至投标截止时间止，仍未上传成功的电子化投标文件将不予接收。（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tc>
      </w:tr>
      <w:tr w14:paraId="73CD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77" w:type="dxa"/>
            <w:shd w:val="clear" w:color="auto" w:fill="auto"/>
            <w:vAlign w:val="center"/>
          </w:tcPr>
          <w:p w14:paraId="0C469C84">
            <w:pPr>
              <w:spacing w:line="400" w:lineRule="exact"/>
              <w:jc w:val="center"/>
              <w:rPr>
                <w:rFonts w:ascii="宋体" w:hAnsi="宋体" w:cs="宋体"/>
                <w:sz w:val="24"/>
                <w:highlight w:val="none"/>
              </w:rPr>
            </w:pPr>
            <w:r>
              <w:rPr>
                <w:rFonts w:hint="eastAsia" w:ascii="宋体" w:hAnsi="宋体" w:cs="宋体"/>
                <w:sz w:val="24"/>
                <w:highlight w:val="none"/>
              </w:rPr>
              <w:t>24</w:t>
            </w:r>
          </w:p>
        </w:tc>
        <w:tc>
          <w:tcPr>
            <w:tcW w:w="1997" w:type="dxa"/>
            <w:vAlign w:val="center"/>
          </w:tcPr>
          <w:p w14:paraId="5C4F47F3">
            <w:pPr>
              <w:spacing w:line="360" w:lineRule="auto"/>
              <w:jc w:val="center"/>
              <w:rPr>
                <w:rFonts w:ascii="宋体" w:hAnsi="宋体" w:cs="宋体"/>
                <w:sz w:val="24"/>
                <w:highlight w:val="none"/>
              </w:rPr>
            </w:pPr>
            <w:r>
              <w:rPr>
                <w:rFonts w:hint="eastAsia" w:ascii="宋体" w:hAnsi="宋体" w:cs="宋体"/>
                <w:sz w:val="24"/>
                <w:highlight w:val="none"/>
              </w:rPr>
              <w:t>递交投标文件地点</w:t>
            </w:r>
          </w:p>
        </w:tc>
        <w:tc>
          <w:tcPr>
            <w:tcW w:w="6442" w:type="dxa"/>
            <w:vAlign w:val="center"/>
          </w:tcPr>
          <w:p w14:paraId="75195DAA">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全国公共资源交易平台（河南省.平顶山市）电子交易系统</w:t>
            </w:r>
          </w:p>
        </w:tc>
      </w:tr>
      <w:tr w14:paraId="0AB4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5271765B">
            <w:pPr>
              <w:spacing w:line="400" w:lineRule="exact"/>
              <w:jc w:val="center"/>
              <w:rPr>
                <w:rFonts w:ascii="宋体" w:hAnsi="宋体" w:cs="宋体"/>
                <w:sz w:val="24"/>
                <w:highlight w:val="none"/>
              </w:rPr>
            </w:pPr>
            <w:r>
              <w:rPr>
                <w:rFonts w:hint="eastAsia" w:ascii="宋体" w:hAnsi="宋体" w:cs="宋体"/>
                <w:sz w:val="24"/>
                <w:highlight w:val="none"/>
              </w:rPr>
              <w:t>25</w:t>
            </w:r>
          </w:p>
        </w:tc>
        <w:tc>
          <w:tcPr>
            <w:tcW w:w="1997" w:type="dxa"/>
            <w:vAlign w:val="center"/>
          </w:tcPr>
          <w:p w14:paraId="1EB55953">
            <w:pPr>
              <w:spacing w:line="400" w:lineRule="exact"/>
              <w:jc w:val="center"/>
              <w:rPr>
                <w:rFonts w:ascii="宋体" w:hAnsi="宋体" w:cs="宋体"/>
                <w:sz w:val="24"/>
                <w:highlight w:val="none"/>
              </w:rPr>
            </w:pPr>
            <w:r>
              <w:rPr>
                <w:rFonts w:hint="eastAsia" w:ascii="宋体" w:hAnsi="宋体" w:cs="宋体"/>
                <w:sz w:val="24"/>
                <w:highlight w:val="none"/>
              </w:rPr>
              <w:t>开标时间和地点</w:t>
            </w:r>
          </w:p>
        </w:tc>
        <w:tc>
          <w:tcPr>
            <w:tcW w:w="6442" w:type="dxa"/>
            <w:vAlign w:val="center"/>
          </w:tcPr>
          <w:p w14:paraId="011F46CD">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开标时间：同投标截止时间</w:t>
            </w:r>
          </w:p>
          <w:p w14:paraId="707F512A">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开标地点：全国公共资源交易平台（河南省.平顶山市）电子交易系统</w:t>
            </w:r>
          </w:p>
        </w:tc>
      </w:tr>
      <w:tr w14:paraId="5C30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AA24249">
            <w:pPr>
              <w:spacing w:line="400" w:lineRule="exact"/>
              <w:jc w:val="center"/>
              <w:rPr>
                <w:rFonts w:ascii="宋体" w:hAnsi="宋体" w:cs="宋体"/>
                <w:sz w:val="24"/>
                <w:highlight w:val="none"/>
              </w:rPr>
            </w:pPr>
            <w:r>
              <w:rPr>
                <w:rFonts w:hint="eastAsia" w:ascii="宋体" w:hAnsi="宋体" w:cs="宋体"/>
                <w:sz w:val="24"/>
                <w:highlight w:val="none"/>
              </w:rPr>
              <w:t>26</w:t>
            </w:r>
          </w:p>
        </w:tc>
        <w:tc>
          <w:tcPr>
            <w:tcW w:w="1997" w:type="dxa"/>
            <w:vAlign w:val="center"/>
          </w:tcPr>
          <w:p w14:paraId="3608E123">
            <w:pPr>
              <w:spacing w:line="400" w:lineRule="exact"/>
              <w:jc w:val="center"/>
              <w:rPr>
                <w:rFonts w:ascii="宋体" w:hAnsi="宋体" w:cs="宋体"/>
                <w:sz w:val="24"/>
                <w:highlight w:val="none"/>
              </w:rPr>
            </w:pPr>
            <w:r>
              <w:rPr>
                <w:rFonts w:hint="eastAsia" w:ascii="宋体" w:hAnsi="宋体" w:cs="宋体"/>
                <w:sz w:val="24"/>
                <w:highlight w:val="none"/>
              </w:rPr>
              <w:t>开标程序</w:t>
            </w:r>
          </w:p>
        </w:tc>
        <w:tc>
          <w:tcPr>
            <w:tcW w:w="6442" w:type="dxa"/>
            <w:vAlign w:val="center"/>
          </w:tcPr>
          <w:p w14:paraId="3F9F5E52">
            <w:pPr>
              <w:spacing w:line="400" w:lineRule="exact"/>
              <w:jc w:val="left"/>
              <w:rPr>
                <w:rFonts w:ascii="宋体" w:hAnsi="宋体" w:cs="宋体"/>
                <w:sz w:val="24"/>
                <w:highlight w:val="none"/>
              </w:rPr>
            </w:pPr>
            <w:r>
              <w:rPr>
                <w:rFonts w:hint="eastAsia" w:ascii="宋体" w:hAnsi="宋体" w:cs="宋体"/>
                <w:sz w:val="24"/>
                <w:highlight w:val="none"/>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656D8228">
            <w:pPr>
              <w:spacing w:line="400" w:lineRule="exact"/>
              <w:jc w:val="left"/>
              <w:rPr>
                <w:rFonts w:ascii="宋体" w:hAnsi="宋体" w:cs="宋体"/>
                <w:bCs/>
                <w:kern w:val="0"/>
                <w:sz w:val="24"/>
                <w:highlight w:val="none"/>
                <w:lang w:val="zh-CN"/>
              </w:rPr>
            </w:pPr>
            <w:r>
              <w:rPr>
                <w:rFonts w:hint="eastAsia" w:ascii="宋体" w:hAnsi="宋体" w:cs="宋体"/>
                <w:sz w:val="24"/>
                <w:highlight w:val="none"/>
              </w:rPr>
              <w:t>（2）待所有投标人投标文件解密完成后，由中介服务机构操作，由采购人（代理机构）操作，对开标结果进行公示。</w:t>
            </w:r>
          </w:p>
        </w:tc>
      </w:tr>
      <w:tr w14:paraId="3253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79C41A5F">
            <w:pPr>
              <w:spacing w:line="400" w:lineRule="exact"/>
              <w:jc w:val="center"/>
              <w:rPr>
                <w:rFonts w:ascii="宋体" w:hAnsi="宋体" w:cs="宋体"/>
                <w:sz w:val="24"/>
                <w:highlight w:val="none"/>
              </w:rPr>
            </w:pPr>
            <w:r>
              <w:rPr>
                <w:rFonts w:hint="eastAsia" w:ascii="宋体" w:hAnsi="宋体" w:cs="宋体"/>
                <w:sz w:val="24"/>
                <w:highlight w:val="none"/>
              </w:rPr>
              <w:t>27</w:t>
            </w:r>
          </w:p>
        </w:tc>
        <w:tc>
          <w:tcPr>
            <w:tcW w:w="1997" w:type="dxa"/>
            <w:vAlign w:val="center"/>
          </w:tcPr>
          <w:p w14:paraId="00FF60DF">
            <w:pPr>
              <w:spacing w:line="400" w:lineRule="exact"/>
              <w:jc w:val="center"/>
              <w:rPr>
                <w:rFonts w:ascii="宋体" w:hAnsi="宋体" w:cs="宋体"/>
                <w:sz w:val="24"/>
                <w:highlight w:val="none"/>
              </w:rPr>
            </w:pPr>
            <w:r>
              <w:rPr>
                <w:rFonts w:hint="eastAsia" w:ascii="宋体" w:hAnsi="宋体" w:cs="宋体"/>
                <w:sz w:val="24"/>
                <w:highlight w:val="none"/>
              </w:rPr>
              <w:t>评标委员会的组建</w:t>
            </w:r>
          </w:p>
        </w:tc>
        <w:tc>
          <w:tcPr>
            <w:tcW w:w="6442" w:type="dxa"/>
            <w:vAlign w:val="center"/>
          </w:tcPr>
          <w:p w14:paraId="63B46BDA">
            <w:pPr>
              <w:spacing w:line="400" w:lineRule="exact"/>
              <w:rPr>
                <w:rFonts w:ascii="宋体" w:hAnsi="宋体" w:cs="宋体"/>
                <w:sz w:val="24"/>
                <w:highlight w:val="none"/>
              </w:rPr>
            </w:pPr>
            <w:r>
              <w:rPr>
                <w:rFonts w:hint="eastAsia" w:ascii="宋体" w:hAnsi="宋体" w:cs="宋体"/>
                <w:sz w:val="24"/>
                <w:highlight w:val="none"/>
              </w:rPr>
              <w:t>评标委员会组成：评标委员会可以由采购人和评审专家组成，成员人数为5人以上单数，其中经济、技术评审专家不得少于成员总数的三分之二，专家从专家库中随机抽取。</w:t>
            </w:r>
          </w:p>
          <w:p w14:paraId="222EE23C">
            <w:pPr>
              <w:spacing w:line="400" w:lineRule="exact"/>
              <w:rPr>
                <w:rFonts w:ascii="宋体" w:hAnsi="宋体" w:cs="宋体"/>
                <w:sz w:val="24"/>
                <w:highlight w:val="none"/>
              </w:rPr>
            </w:pPr>
            <w:r>
              <w:rPr>
                <w:rFonts w:hint="eastAsia" w:ascii="宋体" w:hAnsi="宋体" w:cs="宋体"/>
                <w:sz w:val="24"/>
                <w:highlight w:val="none"/>
              </w:rPr>
              <w:t>上述规定为一组评标专家委员会组成方式，根据项目标段数量和评标工作量，可由多组专家委员会完成评审，但一个标段只能由一组评标专家委员会评审。</w:t>
            </w:r>
          </w:p>
        </w:tc>
      </w:tr>
      <w:tr w14:paraId="3B29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restart"/>
            <w:vAlign w:val="center"/>
          </w:tcPr>
          <w:p w14:paraId="4A969A94">
            <w:pPr>
              <w:spacing w:line="400" w:lineRule="exact"/>
              <w:jc w:val="center"/>
              <w:rPr>
                <w:rFonts w:ascii="宋体" w:hAnsi="宋体" w:cs="宋体"/>
                <w:sz w:val="24"/>
                <w:highlight w:val="none"/>
              </w:rPr>
            </w:pPr>
            <w:r>
              <w:rPr>
                <w:rFonts w:hint="eastAsia" w:ascii="宋体" w:hAnsi="宋体" w:cs="宋体"/>
                <w:sz w:val="24"/>
                <w:highlight w:val="none"/>
              </w:rPr>
              <w:t>28</w:t>
            </w:r>
          </w:p>
        </w:tc>
        <w:tc>
          <w:tcPr>
            <w:tcW w:w="1997" w:type="dxa"/>
            <w:vAlign w:val="center"/>
          </w:tcPr>
          <w:p w14:paraId="6442CAD7">
            <w:pPr>
              <w:spacing w:line="400" w:lineRule="exact"/>
              <w:jc w:val="center"/>
              <w:rPr>
                <w:rFonts w:ascii="宋体" w:hAnsi="宋体" w:cs="宋体"/>
                <w:sz w:val="24"/>
                <w:highlight w:val="none"/>
              </w:rPr>
            </w:pPr>
            <w:r>
              <w:rPr>
                <w:rFonts w:hint="eastAsia" w:ascii="宋体" w:hAnsi="宋体" w:cs="宋体"/>
                <w:sz w:val="24"/>
                <w:highlight w:val="none"/>
              </w:rPr>
              <w:t>是否授权评标委会确定中标人</w:t>
            </w:r>
          </w:p>
        </w:tc>
        <w:tc>
          <w:tcPr>
            <w:tcW w:w="6442" w:type="dxa"/>
            <w:vAlign w:val="center"/>
          </w:tcPr>
          <w:p w14:paraId="6847EB0E">
            <w:pPr>
              <w:spacing w:line="400" w:lineRule="exact"/>
              <w:rPr>
                <w:rFonts w:ascii="宋体" w:hAnsi="宋体" w:cs="宋体"/>
                <w:sz w:val="24"/>
                <w:highlight w:val="none"/>
              </w:rPr>
            </w:pPr>
            <w:r>
              <w:rPr>
                <w:rFonts w:hint="eastAsia" w:ascii="宋体" w:hAnsi="宋体" w:cs="宋体"/>
                <w:sz w:val="24"/>
                <w:highlight w:val="none"/>
              </w:rPr>
              <w:t>否，推荐的中标候选人数：推荐1-3名中标候选人；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11F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continue"/>
            <w:shd w:val="clear" w:color="auto" w:fill="auto"/>
            <w:vAlign w:val="center"/>
          </w:tcPr>
          <w:p w14:paraId="6BE74F4A">
            <w:pPr>
              <w:spacing w:line="400" w:lineRule="exact"/>
              <w:jc w:val="center"/>
              <w:rPr>
                <w:rFonts w:ascii="宋体" w:hAnsi="宋体" w:cs="宋体"/>
                <w:sz w:val="24"/>
                <w:highlight w:val="none"/>
              </w:rPr>
            </w:pPr>
          </w:p>
        </w:tc>
        <w:tc>
          <w:tcPr>
            <w:tcW w:w="1997" w:type="dxa"/>
            <w:vAlign w:val="center"/>
          </w:tcPr>
          <w:p w14:paraId="509357A0">
            <w:pPr>
              <w:spacing w:line="400" w:lineRule="exact"/>
              <w:rPr>
                <w:rFonts w:ascii="宋体" w:hAnsi="宋体" w:cs="宋体"/>
                <w:sz w:val="24"/>
                <w:highlight w:val="none"/>
              </w:rPr>
            </w:pPr>
            <w:r>
              <w:rPr>
                <w:rFonts w:hint="eastAsia" w:ascii="宋体" w:hAnsi="宋体" w:cs="宋体"/>
                <w:sz w:val="24"/>
                <w:highlight w:val="none"/>
              </w:rPr>
              <w:t>中标公告媒介及期限</w:t>
            </w:r>
          </w:p>
        </w:tc>
        <w:tc>
          <w:tcPr>
            <w:tcW w:w="6442" w:type="dxa"/>
            <w:vAlign w:val="center"/>
          </w:tcPr>
          <w:p w14:paraId="0D12319D">
            <w:pPr>
              <w:spacing w:line="400" w:lineRule="exact"/>
              <w:rPr>
                <w:rFonts w:ascii="宋体" w:hAnsi="宋体" w:cs="宋体"/>
                <w:sz w:val="24"/>
                <w:highlight w:val="none"/>
              </w:rPr>
            </w:pPr>
            <w:r>
              <w:rPr>
                <w:rFonts w:hint="eastAsia" w:ascii="宋体" w:hAnsi="宋体" w:cs="宋体"/>
                <w:sz w:val="24"/>
                <w:highlight w:val="none"/>
              </w:rPr>
              <w:t>同招标公告发布媒介，公示期为1个工作日。</w:t>
            </w:r>
          </w:p>
        </w:tc>
      </w:tr>
      <w:tr w14:paraId="648C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7" w:type="dxa"/>
            <w:vMerge w:val="restart"/>
            <w:vAlign w:val="center"/>
          </w:tcPr>
          <w:p w14:paraId="5F9EC931">
            <w:pPr>
              <w:spacing w:line="400" w:lineRule="exact"/>
              <w:jc w:val="center"/>
              <w:rPr>
                <w:rFonts w:ascii="宋体" w:hAnsi="宋体" w:cs="宋体"/>
                <w:sz w:val="24"/>
                <w:highlight w:val="none"/>
              </w:rPr>
            </w:pPr>
            <w:r>
              <w:rPr>
                <w:rFonts w:hint="eastAsia" w:ascii="宋体" w:hAnsi="宋体" w:cs="宋体"/>
                <w:sz w:val="24"/>
                <w:highlight w:val="none"/>
              </w:rPr>
              <w:t>29</w:t>
            </w:r>
          </w:p>
        </w:tc>
        <w:tc>
          <w:tcPr>
            <w:tcW w:w="1997" w:type="dxa"/>
            <w:vAlign w:val="center"/>
          </w:tcPr>
          <w:p w14:paraId="29B6EADB">
            <w:pPr>
              <w:spacing w:line="400" w:lineRule="exact"/>
              <w:jc w:val="center"/>
              <w:rPr>
                <w:rFonts w:ascii="宋体" w:hAnsi="宋体" w:cs="宋体"/>
                <w:sz w:val="24"/>
                <w:highlight w:val="none"/>
              </w:rPr>
            </w:pPr>
            <w:r>
              <w:rPr>
                <w:rFonts w:hint="eastAsia" w:ascii="宋体" w:hAnsi="宋体" w:cs="宋体"/>
                <w:sz w:val="24"/>
                <w:highlight w:val="none"/>
              </w:rPr>
              <w:t>履约保证金</w:t>
            </w:r>
          </w:p>
        </w:tc>
        <w:tc>
          <w:tcPr>
            <w:tcW w:w="6442" w:type="dxa"/>
            <w:vAlign w:val="center"/>
          </w:tcPr>
          <w:p w14:paraId="08B7898B">
            <w:pPr>
              <w:spacing w:line="400" w:lineRule="exact"/>
              <w:rPr>
                <w:rFonts w:ascii="宋体" w:hAnsi="宋体" w:cs="宋体"/>
                <w:sz w:val="24"/>
                <w:highlight w:val="none"/>
              </w:rPr>
            </w:pPr>
            <w:r>
              <w:rPr>
                <w:rFonts w:hint="eastAsia" w:ascii="宋体" w:hAnsi="宋体" w:cs="宋体"/>
                <w:sz w:val="24"/>
                <w:highlight w:val="none"/>
              </w:rPr>
              <w:t>不收取</w:t>
            </w:r>
          </w:p>
        </w:tc>
      </w:tr>
      <w:tr w14:paraId="63B7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7" w:type="dxa"/>
            <w:vMerge w:val="continue"/>
            <w:vAlign w:val="center"/>
          </w:tcPr>
          <w:p w14:paraId="26F53305">
            <w:pPr>
              <w:spacing w:line="400" w:lineRule="exact"/>
              <w:jc w:val="center"/>
              <w:rPr>
                <w:rFonts w:ascii="宋体" w:hAnsi="宋体" w:cs="宋体"/>
                <w:sz w:val="24"/>
                <w:highlight w:val="none"/>
              </w:rPr>
            </w:pPr>
          </w:p>
        </w:tc>
        <w:tc>
          <w:tcPr>
            <w:tcW w:w="1997" w:type="dxa"/>
            <w:vAlign w:val="center"/>
          </w:tcPr>
          <w:p w14:paraId="45D78009">
            <w:pPr>
              <w:spacing w:line="400" w:lineRule="exact"/>
              <w:jc w:val="center"/>
              <w:rPr>
                <w:rFonts w:ascii="宋体" w:hAnsi="宋体" w:cs="宋体"/>
                <w:sz w:val="24"/>
                <w:highlight w:val="none"/>
              </w:rPr>
            </w:pPr>
            <w:r>
              <w:rPr>
                <w:rFonts w:hint="eastAsia" w:ascii="宋体" w:hAnsi="宋体" w:cs="宋体"/>
                <w:sz w:val="24"/>
                <w:highlight w:val="none"/>
              </w:rPr>
              <w:t>质量保证金</w:t>
            </w:r>
          </w:p>
        </w:tc>
        <w:tc>
          <w:tcPr>
            <w:tcW w:w="6442" w:type="dxa"/>
          </w:tcPr>
          <w:p w14:paraId="1F97F896">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541D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77" w:type="dxa"/>
            <w:vMerge w:val="continue"/>
            <w:shd w:val="clear" w:color="auto" w:fill="auto"/>
            <w:vAlign w:val="center"/>
          </w:tcPr>
          <w:p w14:paraId="6B8FE1D8">
            <w:pPr>
              <w:spacing w:line="400" w:lineRule="exact"/>
              <w:jc w:val="center"/>
              <w:rPr>
                <w:rFonts w:ascii="宋体" w:hAnsi="宋体" w:cs="宋体"/>
                <w:sz w:val="24"/>
                <w:highlight w:val="none"/>
              </w:rPr>
            </w:pPr>
          </w:p>
        </w:tc>
        <w:tc>
          <w:tcPr>
            <w:tcW w:w="1997" w:type="dxa"/>
          </w:tcPr>
          <w:p w14:paraId="211078D5">
            <w:pPr>
              <w:spacing w:line="400" w:lineRule="exact"/>
              <w:jc w:val="center"/>
              <w:rPr>
                <w:rFonts w:ascii="宋体" w:hAnsi="宋体" w:cs="宋体"/>
                <w:sz w:val="24"/>
                <w:highlight w:val="none"/>
              </w:rPr>
            </w:pPr>
            <w:r>
              <w:rPr>
                <w:rFonts w:hint="eastAsia" w:ascii="宋体" w:hAnsi="宋体" w:cs="宋体"/>
                <w:sz w:val="24"/>
                <w:highlight w:val="none"/>
              </w:rPr>
              <w:t>招标文件费用</w:t>
            </w:r>
          </w:p>
        </w:tc>
        <w:tc>
          <w:tcPr>
            <w:tcW w:w="6442" w:type="dxa"/>
          </w:tcPr>
          <w:p w14:paraId="28909465">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052C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6DC01EE">
            <w:pPr>
              <w:spacing w:line="400" w:lineRule="exact"/>
              <w:jc w:val="center"/>
              <w:rPr>
                <w:rFonts w:ascii="宋体" w:hAnsi="宋体" w:cs="宋体"/>
                <w:sz w:val="24"/>
                <w:highlight w:val="none"/>
              </w:rPr>
            </w:pPr>
            <w:r>
              <w:rPr>
                <w:rFonts w:hint="eastAsia" w:ascii="宋体" w:hAnsi="宋体" w:cs="宋体"/>
                <w:sz w:val="24"/>
                <w:highlight w:val="none"/>
              </w:rPr>
              <w:t>30</w:t>
            </w:r>
          </w:p>
        </w:tc>
        <w:tc>
          <w:tcPr>
            <w:tcW w:w="1997" w:type="dxa"/>
            <w:vAlign w:val="center"/>
          </w:tcPr>
          <w:p w14:paraId="68A7C9BB">
            <w:pPr>
              <w:spacing w:line="400" w:lineRule="exact"/>
              <w:jc w:val="center"/>
              <w:rPr>
                <w:rFonts w:ascii="宋体" w:hAnsi="宋体" w:cs="宋体"/>
                <w:sz w:val="24"/>
                <w:highlight w:val="none"/>
              </w:rPr>
            </w:pPr>
            <w:r>
              <w:rPr>
                <w:rFonts w:hint="eastAsia" w:ascii="宋体" w:hAnsi="宋体" w:cs="宋体"/>
                <w:sz w:val="24"/>
                <w:highlight w:val="none"/>
              </w:rPr>
              <w:t>接收质疑函的方式和联系方式</w:t>
            </w:r>
          </w:p>
        </w:tc>
        <w:tc>
          <w:tcPr>
            <w:tcW w:w="6442" w:type="dxa"/>
            <w:vAlign w:val="center"/>
          </w:tcPr>
          <w:p w14:paraId="4A67D3AF">
            <w:pPr>
              <w:spacing w:line="400" w:lineRule="exact"/>
              <w:rPr>
                <w:rFonts w:ascii="宋体" w:hAnsi="宋体" w:cs="宋体"/>
                <w:sz w:val="24"/>
                <w:highlight w:val="none"/>
              </w:rPr>
            </w:pPr>
            <w:r>
              <w:rPr>
                <w:rFonts w:hint="eastAsia" w:ascii="宋体" w:hAnsi="宋体" w:cs="宋体"/>
                <w:sz w:val="24"/>
                <w:highlight w:val="none"/>
              </w:rPr>
              <w:t>质疑应以书面的方式提出，格式和内容应当符合《政府采购质疑和投诉办法》的要求。联系方式如下：</w:t>
            </w:r>
          </w:p>
          <w:p w14:paraId="6E4A1076">
            <w:pPr>
              <w:spacing w:line="400" w:lineRule="exact"/>
              <w:jc w:val="left"/>
              <w:rPr>
                <w:rFonts w:ascii="宋体" w:hAnsi="宋体" w:cs="宋体"/>
                <w:sz w:val="24"/>
                <w:highlight w:val="none"/>
              </w:rPr>
            </w:pPr>
            <w:r>
              <w:rPr>
                <w:rFonts w:hint="eastAsia" w:ascii="宋体" w:hAnsi="宋体" w:cs="宋体"/>
                <w:sz w:val="24"/>
                <w:highlight w:val="none"/>
              </w:rPr>
              <w:t>联系人：韩女士</w:t>
            </w:r>
          </w:p>
          <w:p w14:paraId="24B0C5D2">
            <w:pPr>
              <w:spacing w:line="400" w:lineRule="exact"/>
              <w:jc w:val="left"/>
              <w:rPr>
                <w:rFonts w:ascii="宋体" w:hAnsi="宋体" w:cs="宋体"/>
                <w:sz w:val="24"/>
                <w:highlight w:val="none"/>
              </w:rPr>
            </w:pPr>
            <w:r>
              <w:rPr>
                <w:rFonts w:hint="eastAsia" w:ascii="宋体" w:hAnsi="宋体" w:cs="宋体"/>
                <w:sz w:val="24"/>
                <w:highlight w:val="none"/>
              </w:rPr>
              <w:t>联系电话：15225010639</w:t>
            </w:r>
          </w:p>
          <w:p w14:paraId="2F04098E">
            <w:pPr>
              <w:spacing w:line="400" w:lineRule="exact"/>
              <w:rPr>
                <w:rFonts w:ascii="宋体" w:hAnsi="宋体" w:cs="宋体"/>
                <w:sz w:val="24"/>
                <w:highlight w:val="none"/>
              </w:rPr>
            </w:pPr>
            <w:r>
              <w:rPr>
                <w:rFonts w:hint="eastAsia" w:ascii="宋体" w:hAnsi="宋体" w:cs="宋体"/>
                <w:sz w:val="24"/>
                <w:highlight w:val="none"/>
              </w:rPr>
              <w:t>对供应商提出的质疑，采购人、采购代理机构应当依法及时答复和处理，不得推诿扯皮故意刁难，须进行实质性回应。</w:t>
            </w:r>
          </w:p>
        </w:tc>
      </w:tr>
      <w:tr w14:paraId="5C37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82A4276">
            <w:pPr>
              <w:spacing w:line="400" w:lineRule="exact"/>
              <w:jc w:val="center"/>
              <w:rPr>
                <w:rFonts w:ascii="宋体" w:hAnsi="宋体" w:cs="宋体"/>
                <w:sz w:val="24"/>
                <w:highlight w:val="none"/>
              </w:rPr>
            </w:pPr>
            <w:r>
              <w:rPr>
                <w:rFonts w:hint="eastAsia" w:ascii="宋体" w:hAnsi="宋体" w:cs="宋体"/>
                <w:sz w:val="24"/>
                <w:highlight w:val="none"/>
              </w:rPr>
              <w:t>31</w:t>
            </w:r>
          </w:p>
        </w:tc>
        <w:tc>
          <w:tcPr>
            <w:tcW w:w="1997" w:type="dxa"/>
            <w:vAlign w:val="center"/>
          </w:tcPr>
          <w:p w14:paraId="50B3ADBB">
            <w:pPr>
              <w:spacing w:line="400" w:lineRule="exact"/>
              <w:jc w:val="center"/>
              <w:rPr>
                <w:rFonts w:ascii="宋体" w:hAnsi="宋体" w:cs="宋体"/>
                <w:b/>
                <w:bCs/>
                <w:sz w:val="24"/>
                <w:highlight w:val="none"/>
              </w:rPr>
            </w:pPr>
            <w:r>
              <w:rPr>
                <w:rFonts w:hint="eastAsia" w:ascii="宋体" w:hAnsi="宋体" w:cs="宋体"/>
                <w:b/>
                <w:bCs/>
                <w:sz w:val="24"/>
                <w:highlight w:val="none"/>
              </w:rPr>
              <w:t>招标控制价</w:t>
            </w:r>
          </w:p>
          <w:p w14:paraId="28158731">
            <w:pPr>
              <w:spacing w:line="400" w:lineRule="exact"/>
              <w:jc w:val="center"/>
              <w:rPr>
                <w:rFonts w:ascii="宋体" w:hAnsi="宋体" w:cs="宋体"/>
                <w:b/>
                <w:bCs/>
                <w:sz w:val="24"/>
                <w:highlight w:val="none"/>
              </w:rPr>
            </w:pPr>
            <w:r>
              <w:rPr>
                <w:rFonts w:hint="eastAsia" w:ascii="宋体" w:hAnsi="宋体" w:cs="宋体"/>
                <w:b/>
                <w:bCs/>
                <w:sz w:val="24"/>
                <w:highlight w:val="none"/>
              </w:rPr>
              <w:t>（最高投标限价）</w:t>
            </w:r>
          </w:p>
        </w:tc>
        <w:tc>
          <w:tcPr>
            <w:tcW w:w="6442" w:type="dxa"/>
            <w:vAlign w:val="center"/>
          </w:tcPr>
          <w:p w14:paraId="298D168A">
            <w:pPr>
              <w:spacing w:line="400" w:lineRule="exact"/>
              <w:jc w:val="left"/>
              <w:rPr>
                <w:rFonts w:ascii="宋体" w:hAnsi="宋体" w:cs="宋体"/>
                <w:b/>
                <w:bCs/>
                <w:sz w:val="24"/>
                <w:highlight w:val="none"/>
              </w:rPr>
            </w:pPr>
            <w:r>
              <w:rPr>
                <w:rFonts w:hint="eastAsia" w:ascii="宋体" w:hAnsi="宋体" w:cs="宋体"/>
                <w:b/>
                <w:bCs/>
                <w:sz w:val="24"/>
                <w:highlight w:val="none"/>
              </w:rPr>
              <w:t>本项目招标控制价为</w:t>
            </w:r>
            <w:r>
              <w:rPr>
                <w:rFonts w:hint="eastAsia" w:ascii="宋体" w:hAnsi="宋体" w:cs="宋体"/>
                <w:b/>
                <w:bCs/>
                <w:sz w:val="24"/>
                <w:highlight w:val="none"/>
                <w:u w:val="single"/>
              </w:rPr>
              <w:t>:6110000元。</w:t>
            </w:r>
            <w:r>
              <w:rPr>
                <w:rFonts w:hint="eastAsia" w:ascii="宋体" w:hAnsi="宋体" w:cs="宋体"/>
                <w:b/>
                <w:bCs/>
                <w:sz w:val="24"/>
                <w:highlight w:val="none"/>
              </w:rPr>
              <w:t>投标总报价超出招标控制价的投标文件将不进入评审程序，按无效标处理。</w:t>
            </w:r>
          </w:p>
        </w:tc>
      </w:tr>
      <w:tr w14:paraId="1D85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1ECA462B">
            <w:pPr>
              <w:spacing w:line="400" w:lineRule="exact"/>
              <w:jc w:val="center"/>
              <w:rPr>
                <w:rFonts w:ascii="宋体" w:hAnsi="宋体" w:cs="宋体"/>
                <w:sz w:val="24"/>
                <w:highlight w:val="none"/>
              </w:rPr>
            </w:pPr>
            <w:r>
              <w:rPr>
                <w:rFonts w:hint="eastAsia" w:ascii="宋体" w:hAnsi="宋体" w:cs="宋体"/>
                <w:sz w:val="24"/>
                <w:highlight w:val="none"/>
              </w:rPr>
              <w:t>32</w:t>
            </w:r>
          </w:p>
        </w:tc>
        <w:tc>
          <w:tcPr>
            <w:tcW w:w="1997" w:type="dxa"/>
            <w:vAlign w:val="center"/>
          </w:tcPr>
          <w:p w14:paraId="1DAB792C">
            <w:pPr>
              <w:spacing w:line="400" w:lineRule="exact"/>
              <w:jc w:val="center"/>
              <w:rPr>
                <w:rFonts w:ascii="宋体" w:hAnsi="宋体" w:cs="宋体"/>
                <w:sz w:val="24"/>
                <w:highlight w:val="none"/>
              </w:rPr>
            </w:pPr>
            <w:r>
              <w:rPr>
                <w:rFonts w:hint="eastAsia" w:ascii="宋体" w:hAnsi="宋体" w:cs="宋体"/>
                <w:sz w:val="24"/>
                <w:highlight w:val="none"/>
              </w:rPr>
              <w:t>招标代理服务费</w:t>
            </w:r>
          </w:p>
        </w:tc>
        <w:tc>
          <w:tcPr>
            <w:tcW w:w="6442" w:type="dxa"/>
          </w:tcPr>
          <w:p w14:paraId="34FDCE66">
            <w:pPr>
              <w:spacing w:line="400" w:lineRule="exact"/>
              <w:rPr>
                <w:rFonts w:ascii="宋体" w:hAnsi="宋体" w:cs="宋体"/>
                <w:highlight w:val="none"/>
              </w:rPr>
            </w:pPr>
            <w:r>
              <w:rPr>
                <w:rFonts w:hint="eastAsia" w:ascii="宋体" w:hAnsi="宋体" w:cs="宋体"/>
                <w:sz w:val="24"/>
                <w:highlight w:val="none"/>
              </w:rPr>
              <w:t>本项目代理服务费收费按豫招协【2023】002号文计取。由中标方向招标代理机构缴纳。收费金额：73880元</w:t>
            </w:r>
          </w:p>
        </w:tc>
      </w:tr>
      <w:tr w14:paraId="4B2A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77" w:type="dxa"/>
            <w:shd w:val="clear" w:color="auto" w:fill="auto"/>
            <w:vAlign w:val="center"/>
          </w:tcPr>
          <w:p w14:paraId="2FB108EF">
            <w:pPr>
              <w:spacing w:line="400" w:lineRule="exact"/>
              <w:jc w:val="center"/>
              <w:rPr>
                <w:rFonts w:ascii="宋体" w:hAnsi="宋体" w:cs="宋体"/>
                <w:sz w:val="24"/>
                <w:highlight w:val="none"/>
              </w:rPr>
            </w:pPr>
            <w:r>
              <w:rPr>
                <w:rFonts w:hint="eastAsia" w:ascii="宋体" w:hAnsi="宋体" w:cs="宋体"/>
                <w:sz w:val="24"/>
                <w:highlight w:val="none"/>
              </w:rPr>
              <w:t>33</w:t>
            </w:r>
          </w:p>
        </w:tc>
        <w:tc>
          <w:tcPr>
            <w:tcW w:w="1997" w:type="dxa"/>
            <w:vAlign w:val="center"/>
          </w:tcPr>
          <w:p w14:paraId="43AAB247">
            <w:pPr>
              <w:spacing w:line="400" w:lineRule="exact"/>
              <w:jc w:val="center"/>
              <w:rPr>
                <w:rFonts w:ascii="宋体" w:hAnsi="宋体" w:cs="宋体"/>
                <w:sz w:val="24"/>
                <w:highlight w:val="none"/>
              </w:rPr>
            </w:pPr>
            <w:r>
              <w:rPr>
                <w:rFonts w:hint="eastAsia" w:ascii="宋体" w:hAnsi="宋体" w:cs="宋体"/>
                <w:sz w:val="24"/>
                <w:highlight w:val="none"/>
              </w:rPr>
              <w:t>付款方式</w:t>
            </w:r>
          </w:p>
        </w:tc>
        <w:tc>
          <w:tcPr>
            <w:tcW w:w="6442" w:type="dxa"/>
            <w:vAlign w:val="center"/>
          </w:tcPr>
          <w:p w14:paraId="01C7269A">
            <w:pPr>
              <w:spacing w:line="400" w:lineRule="exact"/>
              <w:rPr>
                <w:rFonts w:ascii="宋体" w:hAnsi="宋体" w:cs="宋体"/>
                <w:strike/>
                <w:sz w:val="24"/>
                <w:highlight w:val="none"/>
              </w:rPr>
            </w:pPr>
            <w:r>
              <w:rPr>
                <w:rFonts w:hint="eastAsia" w:ascii="宋体" w:hAnsi="宋体" w:cs="宋体"/>
                <w:sz w:val="24"/>
                <w:highlight w:val="none"/>
              </w:rPr>
              <w:t>本项目完成且验收合格，支付合同总额的100%。</w:t>
            </w:r>
          </w:p>
        </w:tc>
      </w:tr>
      <w:tr w14:paraId="166B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shd w:val="clear" w:color="auto" w:fill="auto"/>
            <w:vAlign w:val="center"/>
          </w:tcPr>
          <w:p w14:paraId="5E87AF30">
            <w:pPr>
              <w:spacing w:line="400" w:lineRule="exact"/>
              <w:jc w:val="center"/>
              <w:rPr>
                <w:rFonts w:ascii="宋体" w:hAnsi="宋体" w:cs="宋体"/>
                <w:sz w:val="24"/>
                <w:highlight w:val="none"/>
              </w:rPr>
            </w:pPr>
            <w:r>
              <w:rPr>
                <w:rFonts w:hint="eastAsia" w:ascii="宋体" w:hAnsi="宋体" w:cs="宋体"/>
                <w:sz w:val="24"/>
                <w:highlight w:val="none"/>
              </w:rPr>
              <w:t>34</w:t>
            </w:r>
          </w:p>
        </w:tc>
        <w:tc>
          <w:tcPr>
            <w:tcW w:w="1997" w:type="dxa"/>
            <w:vAlign w:val="center"/>
          </w:tcPr>
          <w:p w14:paraId="52EFA8A8">
            <w:pPr>
              <w:spacing w:line="400" w:lineRule="exact"/>
              <w:jc w:val="center"/>
              <w:rPr>
                <w:rFonts w:ascii="宋体" w:hAnsi="宋体" w:cs="宋体"/>
                <w:b/>
                <w:sz w:val="24"/>
                <w:highlight w:val="none"/>
              </w:rPr>
            </w:pPr>
            <w:r>
              <w:rPr>
                <w:rFonts w:hint="eastAsia" w:ascii="宋体" w:hAnsi="宋体" w:cs="宋体"/>
                <w:b/>
                <w:sz w:val="24"/>
                <w:highlight w:val="none"/>
              </w:rPr>
              <w:t>政采领域优化营商环境相关政策</w:t>
            </w:r>
          </w:p>
          <w:p w14:paraId="4944BC36">
            <w:pPr>
              <w:spacing w:line="400" w:lineRule="exact"/>
              <w:jc w:val="center"/>
              <w:rPr>
                <w:rFonts w:ascii="宋体" w:hAnsi="宋体" w:cs="宋体"/>
                <w:sz w:val="24"/>
                <w:highlight w:val="none"/>
              </w:rPr>
            </w:pPr>
          </w:p>
        </w:tc>
        <w:tc>
          <w:tcPr>
            <w:tcW w:w="6442" w:type="dxa"/>
            <w:vAlign w:val="center"/>
          </w:tcPr>
          <w:p w14:paraId="3CFDE348">
            <w:pPr>
              <w:spacing w:line="400" w:lineRule="exact"/>
              <w:jc w:val="left"/>
              <w:rPr>
                <w:rFonts w:ascii="宋体" w:hAnsi="宋体" w:cs="宋体"/>
                <w:b/>
                <w:sz w:val="24"/>
                <w:highlight w:val="none"/>
              </w:rPr>
            </w:pPr>
            <w:r>
              <w:rPr>
                <w:rFonts w:hint="eastAsia" w:ascii="宋体" w:hAnsi="宋体" w:cs="宋体"/>
                <w:b/>
                <w:sz w:val="24"/>
                <w:highlight w:val="none"/>
              </w:rPr>
              <w:t>一、落实四个“一日办”精神：</w:t>
            </w:r>
          </w:p>
          <w:p w14:paraId="05BC4B16">
            <w:pPr>
              <w:spacing w:line="400" w:lineRule="exact"/>
              <w:jc w:val="left"/>
              <w:rPr>
                <w:rFonts w:ascii="宋体" w:hAnsi="宋体" w:cs="宋体"/>
                <w:sz w:val="24"/>
                <w:highlight w:val="none"/>
              </w:rPr>
            </w:pPr>
            <w:r>
              <w:rPr>
                <w:rFonts w:hint="eastAsia" w:ascii="宋体" w:hAnsi="宋体" w:cs="宋体"/>
                <w:sz w:val="24"/>
                <w:highlight w:val="none"/>
              </w:rPr>
              <w:t>按照《平顶山市财政局关于压减政府采购各环节时限 进一步优化政府采购营商环境的通知》（平财购〔2021〕34号）通知，落实四个“一日办”精神：</w:t>
            </w:r>
          </w:p>
          <w:p w14:paraId="155544F1">
            <w:pPr>
              <w:spacing w:line="400" w:lineRule="exact"/>
              <w:jc w:val="left"/>
              <w:rPr>
                <w:rFonts w:ascii="宋体" w:hAnsi="宋体" w:cs="宋体"/>
                <w:sz w:val="24"/>
                <w:highlight w:val="none"/>
              </w:rPr>
            </w:pPr>
            <w:r>
              <w:rPr>
                <w:rFonts w:hint="eastAsia" w:ascii="宋体" w:hAnsi="宋体" w:cs="宋体"/>
                <w:sz w:val="24"/>
                <w:highlight w:val="none"/>
              </w:rPr>
              <w:t>（1）在评审结束后1日内确定采购结果，同时对中标单位发出中标或成交通知书，并在网上进行公告；</w:t>
            </w:r>
          </w:p>
          <w:p w14:paraId="3463F557">
            <w:pPr>
              <w:spacing w:line="400" w:lineRule="exact"/>
              <w:jc w:val="left"/>
              <w:rPr>
                <w:rFonts w:ascii="宋体" w:hAnsi="宋体" w:cs="宋体"/>
                <w:sz w:val="24"/>
                <w:highlight w:val="none"/>
              </w:rPr>
            </w:pPr>
            <w:r>
              <w:rPr>
                <w:rFonts w:hint="eastAsia" w:ascii="宋体" w:hAnsi="宋体" w:cs="宋体"/>
                <w:sz w:val="24"/>
                <w:highlight w:val="none"/>
              </w:rPr>
              <w:t>（2）中标或成交通知书发出后，1日内与中标或成交供应商签订合同，合同签订当日完成合同备案工作；</w:t>
            </w:r>
          </w:p>
          <w:p w14:paraId="22697471">
            <w:pPr>
              <w:spacing w:line="400" w:lineRule="exact"/>
              <w:jc w:val="left"/>
              <w:rPr>
                <w:rFonts w:ascii="宋体" w:hAnsi="宋体" w:cs="宋体"/>
                <w:sz w:val="24"/>
                <w:highlight w:val="none"/>
              </w:rPr>
            </w:pPr>
            <w:r>
              <w:rPr>
                <w:rFonts w:hint="eastAsia" w:ascii="宋体" w:hAnsi="宋体" w:cs="宋体"/>
                <w:sz w:val="24"/>
                <w:highlight w:val="none"/>
              </w:rPr>
              <w:t>（3）政府采购项目供应商履约完成后，采购人应在供应商提出验收申请1个工作日内完成验收，同时在平顶山市政府采购网发布验收结果公告；</w:t>
            </w:r>
          </w:p>
          <w:p w14:paraId="06CA6B91">
            <w:pPr>
              <w:spacing w:line="400" w:lineRule="exact"/>
              <w:jc w:val="left"/>
              <w:rPr>
                <w:rFonts w:ascii="宋体" w:hAnsi="宋体" w:cs="宋体"/>
                <w:sz w:val="24"/>
                <w:highlight w:val="none"/>
              </w:rPr>
            </w:pPr>
            <w:r>
              <w:rPr>
                <w:rFonts w:hint="eastAsia" w:ascii="宋体" w:hAnsi="宋体" w:cs="宋体"/>
                <w:sz w:val="24"/>
                <w:highlight w:val="none"/>
              </w:rPr>
              <w:t>（4）验收合格具备付款条件的项目，采购人要在1个工作日内按照合同约定支付项目资金。</w:t>
            </w:r>
          </w:p>
          <w:p w14:paraId="1502B0A2">
            <w:pPr>
              <w:spacing w:line="400" w:lineRule="exact"/>
              <w:ind w:left="105" w:leftChars="50"/>
              <w:jc w:val="left"/>
              <w:rPr>
                <w:rFonts w:ascii="宋体" w:hAnsi="宋体" w:cs="宋体"/>
                <w:sz w:val="24"/>
                <w:highlight w:val="none"/>
              </w:rPr>
            </w:pPr>
            <w:r>
              <w:rPr>
                <w:rFonts w:hint="eastAsia" w:ascii="宋体" w:hAnsi="宋体" w:cs="宋体"/>
                <w:sz w:val="24"/>
                <w:highlight w:val="none"/>
              </w:rPr>
              <w:t>注：签合同需法定代表人携带本人身份证（如为授权委托人，则携带法定代表人授权委托书及本人身份证）、单位公章、合同纸质版本一式六份及合同电子版。</w:t>
            </w:r>
          </w:p>
          <w:p w14:paraId="15741B7D">
            <w:pPr>
              <w:spacing w:line="400" w:lineRule="exact"/>
              <w:jc w:val="left"/>
              <w:rPr>
                <w:rFonts w:ascii="宋体" w:hAnsi="宋体" w:cs="宋体"/>
                <w:b/>
                <w:sz w:val="24"/>
                <w:highlight w:val="none"/>
              </w:rPr>
            </w:pPr>
            <w:r>
              <w:rPr>
                <w:rFonts w:hint="eastAsia" w:ascii="宋体" w:hAnsi="宋体" w:cs="宋体"/>
                <w:b/>
                <w:sz w:val="24"/>
                <w:highlight w:val="none"/>
              </w:rPr>
              <w:t>二、维护企业在政府采购活动中的知情权</w:t>
            </w:r>
          </w:p>
          <w:p w14:paraId="08F8B782">
            <w:pPr>
              <w:spacing w:line="400" w:lineRule="exact"/>
              <w:jc w:val="left"/>
              <w:rPr>
                <w:rFonts w:ascii="宋体" w:hAnsi="宋体" w:cs="宋体"/>
                <w:sz w:val="24"/>
                <w:highlight w:val="none"/>
              </w:rPr>
            </w:pPr>
            <w:r>
              <w:rPr>
                <w:rFonts w:hint="eastAsia" w:ascii="宋体" w:hAnsi="宋体" w:cs="宋体"/>
                <w:sz w:val="24"/>
                <w:highlight w:val="none"/>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09E3D025">
            <w:pPr>
              <w:spacing w:line="400" w:lineRule="exact"/>
              <w:jc w:val="left"/>
              <w:rPr>
                <w:rFonts w:ascii="宋体" w:hAnsi="宋体" w:cs="宋体"/>
                <w:b/>
                <w:sz w:val="24"/>
                <w:highlight w:val="none"/>
              </w:rPr>
            </w:pPr>
            <w:r>
              <w:rPr>
                <w:rFonts w:hint="eastAsia" w:ascii="宋体" w:hAnsi="宋体" w:cs="宋体"/>
                <w:b/>
                <w:sz w:val="24"/>
                <w:highlight w:val="none"/>
              </w:rPr>
              <w:t>三、提供中小企业声明函格式</w:t>
            </w:r>
          </w:p>
          <w:p w14:paraId="4128CB53">
            <w:pPr>
              <w:pStyle w:val="2"/>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在采购文件中，采购代理机构应按照财政部、工信部印发的《政</w:t>
            </w:r>
            <w:r>
              <w:rPr>
                <w:rFonts w:hint="eastAsia" w:ascii="宋体" w:hAnsi="宋体"/>
                <w:kern w:val="2"/>
                <w:sz w:val="24"/>
                <w:szCs w:val="24"/>
                <w:highlight w:val="none"/>
                <w:lang w:val="en-US"/>
              </w:rPr>
              <w:t>府采购促进中小企业发展管理办法》的通知精神（财库〔2020〕46号）提供中小企业声明函格式。</w:t>
            </w:r>
          </w:p>
          <w:p w14:paraId="1273AFEA">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根据《政府采购促进中小企业发展管理办法》（财库〔2020〕46号）第四条：在政府采购活动中，供应商提供的货物、工程或者服务符合下列情形的，享受本办法规定的中小企业扶持政策：</w:t>
            </w:r>
          </w:p>
          <w:p w14:paraId="75C59989">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（一）在货物采购项目中，货物由中小企业制造，即货物由中小企业生产且使用该中小企业商号或者注册商标；</w:t>
            </w:r>
          </w:p>
          <w:p w14:paraId="0F135782">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（二）在工程采购项目中，工程由中小企业承建，即工程施工单位为中小企业；</w:t>
            </w:r>
          </w:p>
          <w:p w14:paraId="04404B86">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（三）在服务采购项目中，服务由中小企业承接，即提供服务的人员为中小企业依照《中华人民共和国劳动合同法》订立劳动合同的从业人员。</w:t>
            </w:r>
          </w:p>
          <w:p w14:paraId="5C7F6447">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在货物采购项目中，供应商提供的货物既有中小企业制造货物，也有大型企业制造货物的，不享受本办法规定的中小企业扶持政策。</w:t>
            </w:r>
          </w:p>
          <w:p w14:paraId="6D44D397">
            <w:pPr>
              <w:pStyle w:val="2"/>
              <w:spacing w:after="0" w:line="400" w:lineRule="exact"/>
              <w:ind w:firstLine="0" w:firstLineChars="0"/>
              <w:rPr>
                <w:rFonts w:ascii="宋体" w:hAnsi="宋体"/>
                <w:sz w:val="24"/>
                <w:szCs w:val="24"/>
                <w:highlight w:val="none"/>
              </w:rPr>
            </w:pPr>
            <w:r>
              <w:rPr>
                <w:rFonts w:hint="eastAsia" w:ascii="宋体" w:hAnsi="宋体"/>
                <w:kern w:val="2"/>
                <w:sz w:val="24"/>
                <w:szCs w:val="24"/>
                <w:highlight w:val="none"/>
                <w:lang w:val="en-US"/>
              </w:rPr>
              <w:t>以联合体形式参加政府采购活动，联合体各方均为中小企业的，联合体视同中小企业。其中，联合体各方均为小微企业的，联合体视同小微企业</w:t>
            </w:r>
            <w:r>
              <w:rPr>
                <w:rFonts w:hint="eastAsia" w:ascii="宋体" w:hAnsi="宋体"/>
                <w:sz w:val="24"/>
                <w:szCs w:val="24"/>
                <w:highlight w:val="none"/>
              </w:rPr>
              <w:t>。</w:t>
            </w:r>
          </w:p>
          <w:p w14:paraId="047692BD">
            <w:pPr>
              <w:spacing w:line="400" w:lineRule="exact"/>
              <w:jc w:val="left"/>
              <w:rPr>
                <w:rFonts w:ascii="宋体" w:hAnsi="宋体" w:cs="宋体"/>
                <w:b/>
                <w:sz w:val="24"/>
                <w:highlight w:val="none"/>
              </w:rPr>
            </w:pPr>
            <w:r>
              <w:rPr>
                <w:rFonts w:hint="eastAsia" w:ascii="宋体" w:hAnsi="宋体" w:cs="宋体"/>
                <w:b/>
                <w:sz w:val="24"/>
                <w:highlight w:val="none"/>
              </w:rPr>
              <w:t>四、推广政府采购合同融资</w:t>
            </w:r>
          </w:p>
          <w:p w14:paraId="282A31BF">
            <w:pPr>
              <w:pStyle w:val="2"/>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要求采购人和代理机构将“政府采购合同融资告知函”写入招标文件，鼓励中标供应商凭借采购合同申请贷款，助力解决中小企业</w:t>
            </w:r>
            <w:r>
              <w:rPr>
                <w:rFonts w:hint="eastAsia" w:ascii="宋体" w:hAnsi="宋体"/>
                <w:kern w:val="2"/>
                <w:sz w:val="24"/>
                <w:szCs w:val="24"/>
                <w:highlight w:val="none"/>
                <w:lang w:val="en-US"/>
              </w:rPr>
              <w:t>融资难、融资贵的问题。</w:t>
            </w:r>
          </w:p>
          <w:p w14:paraId="3819C1B3">
            <w:pPr>
              <w:pStyle w:val="2"/>
              <w:spacing w:after="0" w:line="400" w:lineRule="exact"/>
              <w:ind w:firstLine="0" w:firstLineChars="0"/>
              <w:rPr>
                <w:rFonts w:ascii="宋体" w:hAnsi="宋体"/>
                <w:b/>
                <w:bCs/>
                <w:kern w:val="2"/>
                <w:sz w:val="24"/>
                <w:szCs w:val="24"/>
                <w:highlight w:val="none"/>
                <w:lang w:val="en-US"/>
              </w:rPr>
            </w:pPr>
            <w:r>
              <w:rPr>
                <w:rFonts w:hint="eastAsia" w:ascii="宋体" w:hAnsi="宋体"/>
                <w:b/>
                <w:bCs/>
                <w:kern w:val="2"/>
                <w:sz w:val="24"/>
                <w:szCs w:val="24"/>
                <w:highlight w:val="none"/>
                <w:lang w:val="en-US"/>
              </w:rPr>
              <w:t>五、落实预留采购份额</w:t>
            </w:r>
          </w:p>
          <w:p w14:paraId="2D53A5F2">
            <w:pPr>
              <w:pStyle w:val="2"/>
              <w:spacing w:after="0" w:line="400" w:lineRule="exact"/>
              <w:ind w:firstLine="0" w:firstLineChars="0"/>
              <w:rPr>
                <w:rFonts w:ascii="宋体" w:hAnsi="宋体"/>
                <w:sz w:val="24"/>
                <w:highlight w:val="none"/>
              </w:rPr>
            </w:pPr>
            <w:r>
              <w:rPr>
                <w:rFonts w:hint="eastAsia" w:ascii="宋体" w:hAnsi="宋体"/>
                <w:sz w:val="24"/>
                <w:highlight w:val="none"/>
                <w:lang w:val="en-US"/>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因“按照本办法规定预留采购份额无法确保充分供应、充分竞争，或者存在可能影响政府采购目标实现的情形；”，故本项目不专门面向中小企业预留采购份额。</w:t>
            </w:r>
          </w:p>
          <w:p w14:paraId="14AA346B">
            <w:pPr>
              <w:spacing w:line="400" w:lineRule="exact"/>
              <w:ind w:left="105" w:leftChars="50"/>
              <w:jc w:val="left"/>
              <w:rPr>
                <w:rFonts w:ascii="宋体" w:hAnsi="宋体" w:cs="宋体"/>
                <w:b/>
                <w:sz w:val="24"/>
                <w:highlight w:val="none"/>
              </w:rPr>
            </w:pPr>
            <w:r>
              <w:rPr>
                <w:rFonts w:hint="eastAsia" w:ascii="宋体" w:hAnsi="宋体" w:cs="宋体"/>
                <w:b/>
                <w:sz w:val="24"/>
                <w:highlight w:val="none"/>
              </w:rPr>
              <w:t>六、落实价格评审优惠政策</w:t>
            </w:r>
          </w:p>
          <w:p w14:paraId="777E41A4">
            <w:pPr>
              <w:pStyle w:val="2"/>
              <w:spacing w:line="400" w:lineRule="exact"/>
              <w:ind w:firstLine="0" w:firstLineChars="0"/>
              <w:rPr>
                <w:rFonts w:ascii="宋体" w:hAnsi="宋体"/>
                <w:highlight w:val="none"/>
              </w:rPr>
            </w:pPr>
            <w:r>
              <w:rPr>
                <w:rFonts w:hint="eastAsia" w:ascii="宋体" w:hAnsi="宋体"/>
                <w:sz w:val="24"/>
                <w:szCs w:val="24"/>
                <w:highlight w:val="none"/>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292E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shd w:val="clear" w:color="auto" w:fill="auto"/>
            <w:vAlign w:val="center"/>
          </w:tcPr>
          <w:p w14:paraId="739EC15F">
            <w:pPr>
              <w:spacing w:line="400" w:lineRule="exact"/>
              <w:jc w:val="center"/>
              <w:rPr>
                <w:rFonts w:ascii="宋体" w:hAnsi="宋体" w:cs="宋体"/>
                <w:sz w:val="24"/>
                <w:highlight w:val="none"/>
              </w:rPr>
            </w:pPr>
            <w:r>
              <w:rPr>
                <w:rFonts w:hint="eastAsia" w:ascii="宋体" w:hAnsi="宋体" w:cs="宋体"/>
                <w:sz w:val="24"/>
                <w:highlight w:val="none"/>
              </w:rPr>
              <w:t>35</w:t>
            </w:r>
          </w:p>
        </w:tc>
        <w:tc>
          <w:tcPr>
            <w:tcW w:w="1997" w:type="dxa"/>
            <w:vAlign w:val="center"/>
          </w:tcPr>
          <w:p w14:paraId="28257C9F">
            <w:pPr>
              <w:spacing w:line="400" w:lineRule="exact"/>
              <w:jc w:val="center"/>
              <w:rPr>
                <w:rFonts w:ascii="宋体" w:hAnsi="宋体" w:cs="宋体"/>
                <w:bCs/>
                <w:sz w:val="24"/>
                <w:highlight w:val="none"/>
              </w:rPr>
            </w:pPr>
            <w:r>
              <w:rPr>
                <w:rFonts w:hint="eastAsia" w:ascii="宋体" w:hAnsi="宋体" w:cs="宋体"/>
                <w:bCs/>
                <w:sz w:val="24"/>
                <w:highlight w:val="none"/>
              </w:rPr>
              <w:t>落实绿色产品（节能产品、环境标志产品）优先采购政策。</w:t>
            </w:r>
          </w:p>
        </w:tc>
        <w:tc>
          <w:tcPr>
            <w:tcW w:w="6442" w:type="dxa"/>
            <w:vAlign w:val="center"/>
          </w:tcPr>
          <w:p w14:paraId="2782B057">
            <w:pPr>
              <w:spacing w:line="380" w:lineRule="exact"/>
              <w:rPr>
                <w:rFonts w:ascii="宋体" w:hAnsi="宋体" w:cs="宋体"/>
                <w:sz w:val="24"/>
                <w:highlight w:val="none"/>
              </w:rPr>
            </w:pPr>
            <w:r>
              <w:rPr>
                <w:rFonts w:hint="eastAsia" w:ascii="宋体" w:hAnsi="宋体" w:cs="宋体"/>
                <w:sz w:val="24"/>
                <w:highlight w:val="none"/>
              </w:rPr>
              <w:t xml:space="preserve">1、投标人所投产品在节能产品政府采购品目清单内的，提 </w:t>
            </w:r>
          </w:p>
          <w:p w14:paraId="4D6D1930">
            <w:pPr>
              <w:spacing w:line="380" w:lineRule="exact"/>
              <w:rPr>
                <w:rFonts w:ascii="宋体" w:hAnsi="宋体" w:cs="宋体"/>
                <w:sz w:val="24"/>
                <w:highlight w:val="none"/>
              </w:rPr>
            </w:pPr>
            <w:r>
              <w:rPr>
                <w:rFonts w:hint="eastAsia" w:ascii="宋体" w:hAnsi="宋体" w:cs="宋体"/>
                <w:sz w:val="24"/>
                <w:highlight w:val="none"/>
              </w:rPr>
              <w:t>供具有国家确定的认证机构出具的、处于有效期之内的节能产品认证证书原件扫描件。</w:t>
            </w:r>
          </w:p>
          <w:p w14:paraId="0B6D7AD5">
            <w:pPr>
              <w:spacing w:line="380" w:lineRule="exact"/>
              <w:rPr>
                <w:rFonts w:ascii="宋体" w:hAnsi="宋体" w:cs="宋体"/>
                <w:sz w:val="24"/>
                <w:highlight w:val="none"/>
              </w:rPr>
            </w:pPr>
            <w:r>
              <w:rPr>
                <w:rFonts w:hint="eastAsia" w:ascii="宋体" w:hAnsi="宋体" w:cs="宋体"/>
                <w:sz w:val="24"/>
                <w:highlight w:val="none"/>
              </w:rPr>
              <w:t xml:space="preserve">2、投标人所投产品在环境标志产品品目清单内的，提供具 </w:t>
            </w:r>
          </w:p>
          <w:p w14:paraId="0C888DFD">
            <w:pPr>
              <w:spacing w:line="380" w:lineRule="exact"/>
              <w:rPr>
                <w:rFonts w:ascii="宋体" w:hAnsi="宋体" w:cs="宋体"/>
                <w:sz w:val="24"/>
                <w:highlight w:val="none"/>
              </w:rPr>
            </w:pPr>
            <w:r>
              <w:rPr>
                <w:rFonts w:hint="eastAsia" w:ascii="宋体" w:hAnsi="宋体" w:cs="宋体"/>
                <w:sz w:val="24"/>
                <w:highlight w:val="none"/>
              </w:rPr>
              <w:t>有国家确定的认证机构出具的、处于有效期之内的环境标志产品认证证书原件扫描件。</w:t>
            </w:r>
          </w:p>
        </w:tc>
      </w:tr>
      <w:tr w14:paraId="55A9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777" w:type="dxa"/>
            <w:shd w:val="clear" w:color="auto" w:fill="auto"/>
            <w:vAlign w:val="center"/>
          </w:tcPr>
          <w:p w14:paraId="37FA8FA9">
            <w:pPr>
              <w:spacing w:line="400" w:lineRule="exact"/>
              <w:jc w:val="center"/>
              <w:rPr>
                <w:rFonts w:ascii="宋体" w:hAnsi="宋体" w:cs="宋体"/>
                <w:sz w:val="24"/>
                <w:highlight w:val="none"/>
              </w:rPr>
            </w:pPr>
            <w:r>
              <w:rPr>
                <w:rFonts w:hint="eastAsia" w:ascii="宋体" w:hAnsi="宋体" w:cs="宋体"/>
                <w:sz w:val="24"/>
                <w:highlight w:val="none"/>
              </w:rPr>
              <w:t>36</w:t>
            </w:r>
          </w:p>
        </w:tc>
        <w:tc>
          <w:tcPr>
            <w:tcW w:w="1997" w:type="dxa"/>
            <w:vAlign w:val="center"/>
          </w:tcPr>
          <w:p w14:paraId="13B344BF">
            <w:pPr>
              <w:spacing w:line="400" w:lineRule="exact"/>
              <w:jc w:val="center"/>
              <w:rPr>
                <w:rFonts w:ascii="宋体" w:hAnsi="宋体" w:cs="宋体"/>
                <w:bCs/>
                <w:sz w:val="24"/>
                <w:highlight w:val="none"/>
              </w:rPr>
            </w:pPr>
            <w:r>
              <w:rPr>
                <w:rFonts w:hint="eastAsia" w:ascii="宋体" w:hAnsi="宋体" w:cs="宋体"/>
                <w:bCs/>
                <w:sz w:val="24"/>
                <w:highlight w:val="none"/>
              </w:rPr>
              <w:t>本项目所属行业</w:t>
            </w:r>
          </w:p>
        </w:tc>
        <w:tc>
          <w:tcPr>
            <w:tcW w:w="6442" w:type="dxa"/>
            <w:vAlign w:val="center"/>
          </w:tcPr>
          <w:p w14:paraId="0D4968E8">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采购标的所属行业：</w:t>
            </w:r>
            <w:r>
              <w:rPr>
                <w:rFonts w:hint="eastAsia" w:ascii="宋体" w:hAnsi="宋体"/>
                <w:b/>
                <w:bCs/>
                <w:kern w:val="2"/>
                <w:sz w:val="24"/>
                <w:szCs w:val="24"/>
                <w:highlight w:val="none"/>
                <w:lang w:val="en-US"/>
              </w:rPr>
              <w:t>制造业</w:t>
            </w:r>
          </w:p>
          <w:p w14:paraId="17EB6921">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 xml:space="preserve">划定标准（行业属性划分参照关于印发中小企业划型标准规定的通知(工信部联企业〔2011〕300号) </w:t>
            </w:r>
          </w:p>
        </w:tc>
      </w:tr>
      <w:tr w14:paraId="5998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shd w:val="clear" w:color="auto" w:fill="auto"/>
            <w:vAlign w:val="center"/>
          </w:tcPr>
          <w:p w14:paraId="0246DE09">
            <w:pPr>
              <w:spacing w:line="400" w:lineRule="exact"/>
              <w:jc w:val="center"/>
              <w:rPr>
                <w:rFonts w:ascii="宋体" w:hAnsi="宋体" w:cs="宋体"/>
                <w:sz w:val="24"/>
                <w:highlight w:val="none"/>
              </w:rPr>
            </w:pPr>
            <w:r>
              <w:rPr>
                <w:rFonts w:hint="eastAsia" w:ascii="宋体" w:hAnsi="宋体" w:cs="宋体"/>
                <w:sz w:val="24"/>
                <w:highlight w:val="none"/>
              </w:rPr>
              <w:t>37</w:t>
            </w:r>
          </w:p>
        </w:tc>
        <w:tc>
          <w:tcPr>
            <w:tcW w:w="1997" w:type="dxa"/>
            <w:vAlign w:val="center"/>
          </w:tcPr>
          <w:p w14:paraId="18A28625">
            <w:pPr>
              <w:spacing w:line="360" w:lineRule="auto"/>
              <w:jc w:val="center"/>
              <w:rPr>
                <w:rFonts w:ascii="宋体" w:hAnsi="宋体" w:cs="宋体"/>
                <w:bCs/>
                <w:sz w:val="24"/>
                <w:highlight w:val="none"/>
              </w:rPr>
            </w:pPr>
            <w:r>
              <w:rPr>
                <w:rFonts w:hint="eastAsia" w:ascii="宋体" w:hAnsi="宋体" w:cs="宋体"/>
                <w:bCs/>
                <w:sz w:val="24"/>
                <w:highlight w:val="none"/>
              </w:rPr>
              <w:t>合同签订方式</w:t>
            </w:r>
          </w:p>
        </w:tc>
        <w:tc>
          <w:tcPr>
            <w:tcW w:w="6442" w:type="dxa"/>
            <w:vAlign w:val="center"/>
          </w:tcPr>
          <w:p w14:paraId="6ED43443">
            <w:pPr>
              <w:pStyle w:val="2"/>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合同在线签订，招标人（采购人）与中标人（供应商）利用平顶山公共资源交易平台“合同在线签订模块”，将电子合同推送至对方进行审核，经双方确认均无异议通过后，进行在线签章，完成合同签订并公示。</w:t>
            </w:r>
          </w:p>
        </w:tc>
      </w:tr>
      <w:tr w14:paraId="5889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shd w:val="clear" w:color="auto" w:fill="auto"/>
            <w:vAlign w:val="center"/>
          </w:tcPr>
          <w:p w14:paraId="76E9303F">
            <w:pPr>
              <w:spacing w:line="400" w:lineRule="exact"/>
              <w:jc w:val="center"/>
              <w:rPr>
                <w:rFonts w:ascii="宋体" w:hAnsi="宋体" w:cs="宋体"/>
                <w:sz w:val="24"/>
                <w:highlight w:val="none"/>
              </w:rPr>
            </w:pPr>
            <w:r>
              <w:rPr>
                <w:rFonts w:hint="eastAsia" w:ascii="宋体" w:hAnsi="宋体" w:cs="宋体"/>
                <w:sz w:val="24"/>
                <w:highlight w:val="none"/>
              </w:rPr>
              <w:t>38</w:t>
            </w:r>
          </w:p>
        </w:tc>
        <w:tc>
          <w:tcPr>
            <w:tcW w:w="1997" w:type="dxa"/>
            <w:vAlign w:val="center"/>
          </w:tcPr>
          <w:p w14:paraId="3FC86C57">
            <w:pPr>
              <w:spacing w:line="400" w:lineRule="exact"/>
              <w:jc w:val="center"/>
              <w:rPr>
                <w:rFonts w:ascii="宋体" w:hAnsi="宋体" w:cs="宋体"/>
                <w:sz w:val="24"/>
                <w:highlight w:val="none"/>
              </w:rPr>
            </w:pPr>
            <w:r>
              <w:rPr>
                <w:rFonts w:hint="eastAsia" w:ascii="宋体" w:hAnsi="宋体" w:cs="宋体"/>
                <w:sz w:val="24"/>
                <w:highlight w:val="none"/>
              </w:rPr>
              <w:t>核心产品及同一品牌相关问题</w:t>
            </w:r>
          </w:p>
        </w:tc>
        <w:tc>
          <w:tcPr>
            <w:tcW w:w="6442" w:type="dxa"/>
            <w:vAlign w:val="center"/>
          </w:tcPr>
          <w:p w14:paraId="124EBC9F">
            <w:pPr>
              <w:spacing w:line="400" w:lineRule="exact"/>
              <w:jc w:val="left"/>
              <w:rPr>
                <w:rFonts w:ascii="宋体" w:hAnsi="宋体" w:cs="宋体"/>
                <w:sz w:val="24"/>
                <w:highlight w:val="none"/>
              </w:rPr>
            </w:pPr>
            <w:r>
              <w:rPr>
                <w:rFonts w:hint="eastAsia" w:ascii="宋体" w:hAnsi="宋体" w:cs="宋体"/>
                <w:sz w:val="24"/>
                <w:highlight w:val="none"/>
                <w:lang w:val="zh-CN"/>
              </w:rPr>
              <w:t>本项目采用综合评分法，</w:t>
            </w:r>
            <w:r>
              <w:rPr>
                <w:rFonts w:hint="eastAsia" w:ascii="宋体" w:hAnsi="宋体" w:cs="宋体"/>
                <w:sz w:val="24"/>
                <w:highlight w:val="none"/>
              </w:rPr>
              <w:t>多</w:t>
            </w:r>
            <w:r>
              <w:rPr>
                <w:rFonts w:hint="eastAsia" w:ascii="宋体" w:hAnsi="宋体" w:cs="宋体"/>
                <w:sz w:val="24"/>
                <w:highlight w:val="none"/>
                <w:lang w:val="zh-CN"/>
              </w:rPr>
              <w:t>家投标人提供的核心产品品牌全部相同的，通过资格审查、符合性审查的不同投标人参加同一合同项下投标的，按一家投标人计算，评审后得分最高的同品牌投标人获得中标人推荐资格。评审得分相同的，按照投标报价低的获得中标人推荐资格。投标报价也相同的，采取随机抽取方式确定，其他同品牌投标人不作为中标候选人。</w:t>
            </w:r>
          </w:p>
        </w:tc>
      </w:tr>
      <w:tr w14:paraId="19E0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25E83C59">
            <w:pPr>
              <w:spacing w:line="400" w:lineRule="exact"/>
              <w:jc w:val="center"/>
              <w:rPr>
                <w:rFonts w:ascii="宋体" w:hAnsi="宋体" w:cs="宋体"/>
                <w:sz w:val="24"/>
                <w:highlight w:val="none"/>
              </w:rPr>
            </w:pPr>
            <w:r>
              <w:rPr>
                <w:rFonts w:hint="eastAsia" w:ascii="宋体" w:hAnsi="宋体" w:cs="宋体"/>
                <w:sz w:val="24"/>
                <w:highlight w:val="none"/>
              </w:rPr>
              <w:t>39</w:t>
            </w:r>
          </w:p>
        </w:tc>
        <w:tc>
          <w:tcPr>
            <w:tcW w:w="1997" w:type="dxa"/>
            <w:vAlign w:val="center"/>
          </w:tcPr>
          <w:p w14:paraId="64DBB627">
            <w:pPr>
              <w:spacing w:line="360" w:lineRule="auto"/>
              <w:jc w:val="center"/>
              <w:rPr>
                <w:rFonts w:ascii="宋体" w:hAnsi="宋体" w:cs="宋体"/>
                <w:sz w:val="24"/>
                <w:highlight w:val="none"/>
              </w:rPr>
            </w:pPr>
            <w:r>
              <w:rPr>
                <w:rFonts w:hint="eastAsia" w:ascii="宋体" w:hAnsi="宋体" w:cs="宋体"/>
                <w:b/>
                <w:bCs/>
                <w:kern w:val="0"/>
                <w:szCs w:val="21"/>
                <w:highlight w:val="none"/>
              </w:rPr>
              <w:t>▲专家特别注意 “四方信用评价”须知（招标人、代理机构、本项目评审专家、本项目中标投标人）</w:t>
            </w:r>
          </w:p>
        </w:tc>
        <w:tc>
          <w:tcPr>
            <w:tcW w:w="6442" w:type="dxa"/>
            <w:vAlign w:val="center"/>
          </w:tcPr>
          <w:p w14:paraId="2DB5EC6C">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▲专家特别注意：“四方信用评价”须知（采购人、代理机构、本项目评审专家、本项目中标供应商） 《河南省政府采购网》目前已增加“四方信用评价”功能。请本项目采购人、代理机构、本项目评审专家、本项目中标供应商，按照评价时间节点按时完成评价工作。 时间节点在评审结束后的五日内。如果超期未评价，系统会默认超期不让评价。</w:t>
            </w:r>
          </w:p>
          <w:p w14:paraId="0974B9D8">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注：请各方注意时间，避免因超期未评价影响自身信用！</w:t>
            </w:r>
          </w:p>
          <w:p w14:paraId="6CF8A3DF">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 xml:space="preserve">1.采购人、采购代理机构应当在评审工作结束后5日内对评审专家进行评价。 </w:t>
            </w:r>
          </w:p>
          <w:p w14:paraId="5FEF0DC1">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 xml:space="preserve">2.采购人、评审专家、供应商应当在评审工作结束后5日内对代理机构进行评价。 </w:t>
            </w:r>
          </w:p>
          <w:p w14:paraId="41B70448">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3.采购人应当在合同履约完成后对中标供应商进行评价。</w:t>
            </w:r>
          </w:p>
          <w:p w14:paraId="33C3EF4F">
            <w:pPr>
              <w:autoSpaceDE w:val="0"/>
              <w:autoSpaceDN w:val="0"/>
              <w:adjustRightInd w:val="0"/>
              <w:spacing w:line="360" w:lineRule="auto"/>
              <w:rPr>
                <w:rFonts w:ascii="宋体" w:hAnsi="宋体" w:cs="宋体"/>
                <w:sz w:val="24"/>
                <w:highlight w:val="none"/>
                <w:lang w:val="zh-CN"/>
              </w:rPr>
            </w:pPr>
            <w:r>
              <w:rPr>
                <w:rFonts w:hint="eastAsia" w:ascii="宋体" w:hAnsi="宋体" w:cs="宋体"/>
                <w:sz w:val="24"/>
                <w:highlight w:val="none"/>
                <w:lang w:val="zh-CN"/>
              </w:rPr>
              <w:t>4.中标供应商应当在合同履约完成后对采购人进行评价。</w:t>
            </w:r>
          </w:p>
        </w:tc>
      </w:tr>
    </w:tbl>
    <w:p w14:paraId="49950BB2">
      <w:pPr>
        <w:pStyle w:val="31"/>
        <w:tabs>
          <w:tab w:val="left" w:pos="4693"/>
        </w:tabs>
        <w:spacing w:before="78"/>
        <w:ind w:left="0" w:firstLine="0"/>
        <w:jc w:val="both"/>
        <w:rPr>
          <w:b/>
          <w:sz w:val="28"/>
          <w:highlight w:val="none"/>
          <w:lang w:val="en-US"/>
        </w:rPr>
      </w:pPr>
      <w:bookmarkStart w:id="8" w:name="_bookmark3"/>
      <w:bookmarkEnd w:id="8"/>
    </w:p>
    <w:p w14:paraId="673855B8">
      <w:pPr>
        <w:pStyle w:val="31"/>
        <w:tabs>
          <w:tab w:val="left" w:pos="4693"/>
        </w:tabs>
        <w:spacing w:before="78"/>
        <w:ind w:left="0" w:firstLine="0"/>
        <w:jc w:val="both"/>
        <w:rPr>
          <w:b/>
          <w:sz w:val="28"/>
          <w:highlight w:val="none"/>
        </w:rPr>
      </w:pPr>
      <w:r>
        <w:rPr>
          <w:rFonts w:hint="eastAsia"/>
          <w:b/>
          <w:sz w:val="28"/>
          <w:highlight w:val="none"/>
          <w:lang w:val="en-US"/>
        </w:rPr>
        <w:t xml:space="preserve">1 </w:t>
      </w:r>
      <w:r>
        <w:rPr>
          <w:rFonts w:hint="eastAsia"/>
          <w:b/>
          <w:sz w:val="28"/>
          <w:highlight w:val="none"/>
        </w:rPr>
        <w:t>总则</w:t>
      </w:r>
    </w:p>
    <w:p w14:paraId="24C6702B">
      <w:pPr>
        <w:pStyle w:val="13"/>
        <w:numPr>
          <w:ilvl w:val="1"/>
          <w:numId w:val="5"/>
        </w:numPr>
        <w:tabs>
          <w:tab w:val="left" w:pos="704"/>
        </w:tabs>
        <w:spacing w:before="67"/>
        <w:rPr>
          <w:highlight w:val="none"/>
        </w:rPr>
      </w:pPr>
      <w:r>
        <w:rPr>
          <w:rFonts w:hint="eastAsia"/>
          <w:highlight w:val="none"/>
        </w:rPr>
        <w:t>项目概况</w:t>
      </w:r>
    </w:p>
    <w:p w14:paraId="02A309DD">
      <w:pPr>
        <w:pStyle w:val="31"/>
        <w:numPr>
          <w:ilvl w:val="2"/>
          <w:numId w:val="5"/>
        </w:numPr>
        <w:tabs>
          <w:tab w:val="left" w:pos="1270"/>
          <w:tab w:val="left" w:pos="9020"/>
        </w:tabs>
        <w:spacing w:before="185" w:line="357" w:lineRule="auto"/>
        <w:ind w:left="18" w:right="56" w:firstLine="620"/>
        <w:rPr>
          <w:sz w:val="21"/>
          <w:highlight w:val="none"/>
        </w:rPr>
      </w:pPr>
      <w:r>
        <w:rPr>
          <w:rFonts w:hint="eastAsia"/>
          <w:spacing w:val="-8"/>
          <w:sz w:val="21"/>
          <w:highlight w:val="none"/>
        </w:rPr>
        <w:t>根据《中华人民共和国政府采购法》等有关法律、法规和规章的规定，本招标项目已具备</w:t>
      </w:r>
      <w:r>
        <w:rPr>
          <w:rFonts w:hint="eastAsia"/>
          <w:spacing w:val="-5"/>
          <w:sz w:val="21"/>
          <w:highlight w:val="none"/>
        </w:rPr>
        <w:t>招标条件，现对本项目的进行招标。</w:t>
      </w:r>
    </w:p>
    <w:p w14:paraId="07B49D23">
      <w:pPr>
        <w:pStyle w:val="31"/>
        <w:numPr>
          <w:ilvl w:val="2"/>
          <w:numId w:val="5"/>
        </w:numPr>
        <w:tabs>
          <w:tab w:val="left" w:pos="1275"/>
        </w:tabs>
        <w:spacing w:before="63"/>
        <w:ind w:left="1274" w:hanging="631"/>
        <w:rPr>
          <w:sz w:val="21"/>
          <w:highlight w:val="none"/>
        </w:rPr>
      </w:pPr>
      <w:r>
        <w:rPr>
          <w:rFonts w:hint="eastAsia"/>
          <w:spacing w:val="-3"/>
          <w:sz w:val="21"/>
          <w:highlight w:val="none"/>
        </w:rPr>
        <w:t>本招标项目采购人：见投标人须知前附表。</w:t>
      </w:r>
    </w:p>
    <w:p w14:paraId="552D9EBB">
      <w:pPr>
        <w:pStyle w:val="3"/>
        <w:spacing w:before="4"/>
        <w:rPr>
          <w:sz w:val="15"/>
          <w:highlight w:val="none"/>
        </w:rPr>
      </w:pPr>
    </w:p>
    <w:p w14:paraId="076CC10A">
      <w:pPr>
        <w:pStyle w:val="31"/>
        <w:numPr>
          <w:ilvl w:val="2"/>
          <w:numId w:val="5"/>
        </w:numPr>
        <w:tabs>
          <w:tab w:val="left" w:pos="1275"/>
        </w:tabs>
        <w:ind w:left="1274" w:hanging="631"/>
        <w:rPr>
          <w:sz w:val="21"/>
          <w:highlight w:val="none"/>
        </w:rPr>
      </w:pPr>
      <w:r>
        <w:rPr>
          <w:rFonts w:hint="eastAsia"/>
          <w:spacing w:val="-3"/>
          <w:sz w:val="21"/>
          <w:highlight w:val="none"/>
        </w:rPr>
        <w:t>本招标项目招标代理机构：见投标人须知前附表。</w:t>
      </w:r>
    </w:p>
    <w:p w14:paraId="6F37D2ED">
      <w:pPr>
        <w:pStyle w:val="3"/>
        <w:spacing w:before="2"/>
        <w:rPr>
          <w:sz w:val="15"/>
          <w:highlight w:val="none"/>
        </w:rPr>
      </w:pPr>
    </w:p>
    <w:p w14:paraId="4DF23829">
      <w:pPr>
        <w:pStyle w:val="31"/>
        <w:numPr>
          <w:ilvl w:val="2"/>
          <w:numId w:val="5"/>
        </w:numPr>
        <w:tabs>
          <w:tab w:val="left" w:pos="1275"/>
        </w:tabs>
        <w:ind w:left="1274" w:hanging="631"/>
        <w:rPr>
          <w:sz w:val="21"/>
          <w:highlight w:val="none"/>
        </w:rPr>
      </w:pPr>
      <w:r>
        <w:rPr>
          <w:rFonts w:hint="eastAsia"/>
          <w:spacing w:val="-3"/>
          <w:sz w:val="21"/>
          <w:highlight w:val="none"/>
        </w:rPr>
        <w:t>本招标项目名称：见投标人须知前附表。</w:t>
      </w:r>
    </w:p>
    <w:p w14:paraId="40F841F4">
      <w:pPr>
        <w:pStyle w:val="3"/>
        <w:spacing w:before="2"/>
        <w:rPr>
          <w:sz w:val="15"/>
          <w:highlight w:val="none"/>
        </w:rPr>
      </w:pPr>
    </w:p>
    <w:p w14:paraId="2EC294DB">
      <w:pPr>
        <w:pStyle w:val="31"/>
        <w:numPr>
          <w:ilvl w:val="2"/>
          <w:numId w:val="5"/>
        </w:numPr>
        <w:tabs>
          <w:tab w:val="left" w:pos="1275"/>
        </w:tabs>
        <w:ind w:left="1274" w:hanging="631"/>
        <w:rPr>
          <w:sz w:val="21"/>
          <w:highlight w:val="none"/>
        </w:rPr>
      </w:pPr>
      <w:r>
        <w:rPr>
          <w:rFonts w:hint="eastAsia"/>
          <w:spacing w:val="-3"/>
          <w:sz w:val="21"/>
          <w:highlight w:val="none"/>
        </w:rPr>
        <w:t>本招标项目交货地点：见投标人须知前附表。</w:t>
      </w:r>
    </w:p>
    <w:p w14:paraId="27FA7472">
      <w:pPr>
        <w:pStyle w:val="13"/>
        <w:numPr>
          <w:ilvl w:val="1"/>
          <w:numId w:val="5"/>
        </w:numPr>
        <w:tabs>
          <w:tab w:val="left" w:pos="704"/>
        </w:tabs>
        <w:spacing w:before="133"/>
        <w:rPr>
          <w:highlight w:val="none"/>
        </w:rPr>
      </w:pPr>
      <w:r>
        <w:rPr>
          <w:rFonts w:hint="eastAsia"/>
          <w:highlight w:val="none"/>
        </w:rPr>
        <w:t>资金来源和落实情况</w:t>
      </w:r>
    </w:p>
    <w:p w14:paraId="6678C1BF">
      <w:pPr>
        <w:pStyle w:val="31"/>
        <w:numPr>
          <w:ilvl w:val="2"/>
          <w:numId w:val="5"/>
        </w:numPr>
        <w:tabs>
          <w:tab w:val="left" w:pos="1270"/>
        </w:tabs>
        <w:spacing w:before="186"/>
        <w:ind w:left="1270"/>
        <w:rPr>
          <w:sz w:val="21"/>
          <w:highlight w:val="none"/>
        </w:rPr>
      </w:pPr>
      <w:r>
        <w:rPr>
          <w:rFonts w:hint="eastAsia"/>
          <w:spacing w:val="-3"/>
          <w:sz w:val="21"/>
          <w:highlight w:val="none"/>
        </w:rPr>
        <w:t>本招标项目的资金来源：见投标人须知前附表。</w:t>
      </w:r>
    </w:p>
    <w:p w14:paraId="4887F902">
      <w:pPr>
        <w:pStyle w:val="3"/>
        <w:spacing w:before="4"/>
        <w:rPr>
          <w:sz w:val="15"/>
          <w:highlight w:val="none"/>
        </w:rPr>
      </w:pPr>
    </w:p>
    <w:p w14:paraId="100CBEA6">
      <w:pPr>
        <w:pStyle w:val="31"/>
        <w:numPr>
          <w:ilvl w:val="2"/>
          <w:numId w:val="5"/>
        </w:numPr>
        <w:tabs>
          <w:tab w:val="left" w:pos="1270"/>
        </w:tabs>
        <w:ind w:left="1270"/>
        <w:rPr>
          <w:sz w:val="21"/>
          <w:highlight w:val="none"/>
        </w:rPr>
      </w:pPr>
      <w:r>
        <w:rPr>
          <w:rFonts w:hint="eastAsia"/>
          <w:spacing w:val="-3"/>
          <w:sz w:val="21"/>
          <w:highlight w:val="none"/>
        </w:rPr>
        <w:t>本招标项目的资金落实情况：见投标人须知前附表。</w:t>
      </w:r>
    </w:p>
    <w:p w14:paraId="6EB0F68C">
      <w:pPr>
        <w:pStyle w:val="13"/>
        <w:numPr>
          <w:ilvl w:val="1"/>
          <w:numId w:val="5"/>
        </w:numPr>
        <w:tabs>
          <w:tab w:val="left" w:pos="704"/>
        </w:tabs>
        <w:spacing w:before="131"/>
        <w:rPr>
          <w:highlight w:val="none"/>
        </w:rPr>
      </w:pPr>
      <w:r>
        <w:rPr>
          <w:rFonts w:hint="eastAsia"/>
          <w:highlight w:val="none"/>
        </w:rPr>
        <w:t>招标内容和质量要求</w:t>
      </w:r>
    </w:p>
    <w:p w14:paraId="670A57D8">
      <w:pPr>
        <w:pStyle w:val="31"/>
        <w:numPr>
          <w:ilvl w:val="2"/>
          <w:numId w:val="5"/>
        </w:numPr>
        <w:tabs>
          <w:tab w:val="left" w:pos="1270"/>
        </w:tabs>
        <w:spacing w:before="186"/>
        <w:ind w:left="1270"/>
        <w:rPr>
          <w:spacing w:val="-3"/>
          <w:sz w:val="21"/>
          <w:highlight w:val="none"/>
        </w:rPr>
      </w:pPr>
      <w:r>
        <w:rPr>
          <w:rFonts w:hint="eastAsia"/>
          <w:spacing w:val="-3"/>
          <w:sz w:val="21"/>
          <w:highlight w:val="none"/>
        </w:rPr>
        <w:t>本次招标内容：见投标人须知前附表。</w:t>
      </w:r>
    </w:p>
    <w:p w14:paraId="306EA602">
      <w:pPr>
        <w:pStyle w:val="31"/>
        <w:numPr>
          <w:ilvl w:val="2"/>
          <w:numId w:val="5"/>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rPr>
        <w:t>服务期限</w:t>
      </w:r>
      <w:r>
        <w:rPr>
          <w:rFonts w:hint="eastAsia"/>
          <w:spacing w:val="-3"/>
          <w:sz w:val="21"/>
          <w:highlight w:val="none"/>
        </w:rPr>
        <w:t>：见投标人须知前附表。</w:t>
      </w:r>
    </w:p>
    <w:p w14:paraId="1E506A78">
      <w:pPr>
        <w:pStyle w:val="31"/>
        <w:numPr>
          <w:ilvl w:val="2"/>
          <w:numId w:val="5"/>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rPr>
        <w:t>服务要求</w:t>
      </w:r>
      <w:r>
        <w:rPr>
          <w:rFonts w:hint="eastAsia"/>
          <w:spacing w:val="-3"/>
          <w:sz w:val="21"/>
          <w:highlight w:val="none"/>
        </w:rPr>
        <w:t>：见投标人须知前附表。</w:t>
      </w:r>
    </w:p>
    <w:p w14:paraId="479546D2">
      <w:pPr>
        <w:pStyle w:val="13"/>
        <w:numPr>
          <w:ilvl w:val="1"/>
          <w:numId w:val="5"/>
        </w:numPr>
        <w:tabs>
          <w:tab w:val="left" w:pos="704"/>
        </w:tabs>
        <w:spacing w:before="131"/>
        <w:rPr>
          <w:spacing w:val="-3"/>
          <w:sz w:val="21"/>
          <w:highlight w:val="none"/>
        </w:rPr>
      </w:pPr>
      <w:r>
        <w:rPr>
          <w:rFonts w:hint="eastAsia"/>
          <w:highlight w:val="none"/>
        </w:rPr>
        <w:t>投标人资格要求</w:t>
      </w:r>
    </w:p>
    <w:p w14:paraId="5B2FAEFB">
      <w:pPr>
        <w:pStyle w:val="13"/>
        <w:tabs>
          <w:tab w:val="left" w:pos="704"/>
        </w:tabs>
        <w:spacing w:before="131"/>
        <w:ind w:left="218" w:firstLine="408" w:firstLineChars="200"/>
        <w:rPr>
          <w:b w:val="0"/>
          <w:bCs w:val="0"/>
          <w:spacing w:val="-3"/>
          <w:sz w:val="21"/>
          <w:szCs w:val="22"/>
          <w:highlight w:val="none"/>
        </w:rPr>
      </w:pPr>
      <w:r>
        <w:rPr>
          <w:rFonts w:hint="eastAsia"/>
          <w:b w:val="0"/>
          <w:bCs w:val="0"/>
          <w:spacing w:val="-3"/>
          <w:sz w:val="21"/>
          <w:szCs w:val="22"/>
          <w:highlight w:val="none"/>
          <w:lang w:val="en-US"/>
        </w:rPr>
        <w:t>1.4.1</w:t>
      </w:r>
      <w:r>
        <w:rPr>
          <w:rFonts w:hint="eastAsia"/>
          <w:b w:val="0"/>
          <w:bCs w:val="0"/>
          <w:spacing w:val="-3"/>
          <w:sz w:val="21"/>
          <w:szCs w:val="22"/>
          <w:highlight w:val="none"/>
        </w:rPr>
        <w:t>投标人应具备的资质条件见投标人须知前附表；</w:t>
      </w:r>
    </w:p>
    <w:p w14:paraId="3F355599">
      <w:pPr>
        <w:pStyle w:val="13"/>
        <w:tabs>
          <w:tab w:val="left" w:pos="704"/>
        </w:tabs>
        <w:spacing w:before="131"/>
        <w:ind w:left="218" w:firstLine="408" w:firstLineChars="200"/>
        <w:rPr>
          <w:b w:val="0"/>
          <w:bCs w:val="0"/>
          <w:spacing w:val="-3"/>
          <w:sz w:val="21"/>
          <w:highlight w:val="none"/>
        </w:rPr>
      </w:pPr>
      <w:r>
        <w:rPr>
          <w:rFonts w:hint="eastAsia"/>
          <w:b w:val="0"/>
          <w:bCs w:val="0"/>
          <w:spacing w:val="-3"/>
          <w:sz w:val="21"/>
          <w:highlight w:val="none"/>
          <w:lang w:val="en-US"/>
        </w:rPr>
        <w:t xml:space="preserve">1.4.2 </w:t>
      </w:r>
      <w:r>
        <w:rPr>
          <w:rFonts w:hint="eastAsia"/>
          <w:b w:val="0"/>
          <w:bCs w:val="0"/>
          <w:spacing w:val="-3"/>
          <w:sz w:val="21"/>
          <w:highlight w:val="none"/>
        </w:rPr>
        <w:t>投标人不得存在下列情形之一：</w:t>
      </w:r>
    </w:p>
    <w:p w14:paraId="30C26C65">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）与采购人存在利害关系且可能影响招标公正性；</w:t>
      </w:r>
    </w:p>
    <w:p w14:paraId="51B37B14">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）与本招标项目的其他投标人为同一个单位负责人；</w:t>
      </w:r>
    </w:p>
    <w:p w14:paraId="44B62ADA">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）与本招标项目的其他投标人存在控股、管理关系；</w:t>
      </w:r>
    </w:p>
    <w:p w14:paraId="25A96603">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）为本招标项目的招标代理机构；</w:t>
      </w:r>
    </w:p>
    <w:p w14:paraId="13DA8B41">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5</w:t>
      </w:r>
      <w:r>
        <w:rPr>
          <w:rFonts w:hint="eastAsia"/>
          <w:spacing w:val="-3"/>
          <w:sz w:val="21"/>
          <w:highlight w:val="none"/>
        </w:rPr>
        <w:t>）与本招标项目的招标代理机构存在控股或参股关系；</w:t>
      </w:r>
    </w:p>
    <w:p w14:paraId="1B9F3EC0">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6</w:t>
      </w:r>
      <w:r>
        <w:rPr>
          <w:rFonts w:hint="eastAsia"/>
          <w:spacing w:val="-3"/>
          <w:sz w:val="21"/>
          <w:highlight w:val="none"/>
        </w:rPr>
        <w:t>）被依法暂停或者取消投标资格；</w:t>
      </w:r>
    </w:p>
    <w:p w14:paraId="1BB51CD0">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7</w:t>
      </w:r>
      <w:r>
        <w:rPr>
          <w:rFonts w:hint="eastAsia"/>
          <w:spacing w:val="-3"/>
          <w:sz w:val="21"/>
          <w:highlight w:val="none"/>
        </w:rPr>
        <w:t>）被责令停产停业、暂扣或者吊销许可证、暂扣或者吊销执照；</w:t>
      </w:r>
    </w:p>
    <w:p w14:paraId="37D12299">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8</w:t>
      </w:r>
      <w:r>
        <w:rPr>
          <w:rFonts w:hint="eastAsia"/>
          <w:spacing w:val="-3"/>
          <w:sz w:val="21"/>
          <w:highlight w:val="none"/>
        </w:rPr>
        <w:t>）进入清算程序，或被宣告破产，或其他丧失履约能力的情形；</w:t>
      </w:r>
    </w:p>
    <w:p w14:paraId="6A1B3FC8">
      <w:pPr>
        <w:pStyle w:val="31"/>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9</w:t>
      </w:r>
      <w:r>
        <w:rPr>
          <w:rFonts w:hint="eastAsia"/>
          <w:spacing w:val="-3"/>
          <w:sz w:val="21"/>
          <w:highlight w:val="none"/>
        </w:rPr>
        <w:t>）法律法规或投标人须知前附表规定的其他情形。</w:t>
      </w:r>
    </w:p>
    <w:p w14:paraId="6CFC75D1">
      <w:pPr>
        <w:pStyle w:val="13"/>
        <w:numPr>
          <w:ilvl w:val="1"/>
          <w:numId w:val="5"/>
        </w:numPr>
        <w:tabs>
          <w:tab w:val="left" w:pos="704"/>
        </w:tabs>
        <w:spacing w:before="131"/>
        <w:rPr>
          <w:spacing w:val="-3"/>
          <w:sz w:val="21"/>
          <w:highlight w:val="none"/>
        </w:rPr>
      </w:pPr>
      <w:r>
        <w:rPr>
          <w:rFonts w:hint="eastAsia"/>
          <w:highlight w:val="none"/>
        </w:rPr>
        <w:t>费用承担</w:t>
      </w:r>
    </w:p>
    <w:p w14:paraId="2C9BEB90">
      <w:pPr>
        <w:pStyle w:val="31"/>
        <w:tabs>
          <w:tab w:val="left" w:pos="1330"/>
        </w:tabs>
        <w:spacing w:before="152" w:line="355" w:lineRule="auto"/>
        <w:ind w:left="238" w:right="56" w:firstLine="459" w:firstLineChars="225"/>
        <w:rPr>
          <w:spacing w:val="-3"/>
          <w:sz w:val="21"/>
          <w:highlight w:val="none"/>
        </w:rPr>
      </w:pPr>
      <w:r>
        <w:rPr>
          <w:rFonts w:hint="eastAsia"/>
          <w:spacing w:val="-3"/>
          <w:sz w:val="21"/>
          <w:highlight w:val="none"/>
        </w:rPr>
        <w:t>投标人准备和参加投标活动发生的费用自理。中标人承担中标服务费，费用由中标人在领取《中标通知书》时按照【2015】299 号文件和</w:t>
      </w:r>
      <w:r>
        <w:rPr>
          <w:rFonts w:hint="eastAsia"/>
          <w:spacing w:val="-3"/>
          <w:sz w:val="21"/>
          <w:highlight w:val="none"/>
          <w:lang w:val="en-US"/>
        </w:rPr>
        <w:t>河南省招标代理服务收费指导意见-豫招协</w:t>
      </w:r>
      <w:r>
        <w:rPr>
          <w:rFonts w:hint="eastAsia"/>
          <w:spacing w:val="-3"/>
          <w:sz w:val="21"/>
          <w:highlight w:val="none"/>
        </w:rPr>
        <w:t>【</w:t>
      </w:r>
      <w:r>
        <w:rPr>
          <w:rFonts w:hint="eastAsia"/>
          <w:spacing w:val="-3"/>
          <w:sz w:val="21"/>
          <w:highlight w:val="none"/>
          <w:lang w:val="en-US"/>
        </w:rPr>
        <w:t>2023</w:t>
      </w:r>
      <w:r>
        <w:rPr>
          <w:rFonts w:hint="eastAsia"/>
          <w:spacing w:val="-3"/>
          <w:sz w:val="21"/>
          <w:highlight w:val="none"/>
        </w:rPr>
        <w:t>】</w:t>
      </w:r>
      <w:r>
        <w:rPr>
          <w:rFonts w:hint="eastAsia"/>
          <w:spacing w:val="-3"/>
          <w:sz w:val="21"/>
          <w:highlight w:val="none"/>
          <w:lang w:val="en-US"/>
        </w:rPr>
        <w:t>002号</w:t>
      </w:r>
      <w:r>
        <w:rPr>
          <w:rFonts w:hint="eastAsia"/>
          <w:spacing w:val="-3"/>
          <w:sz w:val="21"/>
          <w:highlight w:val="none"/>
        </w:rPr>
        <w:t>文有关规定向招标代理机构缴清中标服务费。</w:t>
      </w:r>
    </w:p>
    <w:p w14:paraId="235D1E6A">
      <w:pPr>
        <w:pStyle w:val="13"/>
        <w:numPr>
          <w:ilvl w:val="1"/>
          <w:numId w:val="5"/>
        </w:numPr>
        <w:tabs>
          <w:tab w:val="left" w:pos="704"/>
        </w:tabs>
        <w:spacing w:before="1"/>
        <w:rPr>
          <w:highlight w:val="none"/>
        </w:rPr>
      </w:pPr>
      <w:r>
        <w:rPr>
          <w:rFonts w:hint="eastAsia"/>
          <w:highlight w:val="none"/>
        </w:rPr>
        <w:t>保密</w:t>
      </w:r>
    </w:p>
    <w:p w14:paraId="799488F9">
      <w:pPr>
        <w:pStyle w:val="3"/>
        <w:spacing w:before="155" w:line="355" w:lineRule="auto"/>
        <w:ind w:left="218" w:right="-144" w:firstLine="480"/>
        <w:rPr>
          <w:highlight w:val="none"/>
        </w:rPr>
      </w:pPr>
      <w:r>
        <w:rPr>
          <w:rFonts w:hint="eastAsia"/>
          <w:highlight w:val="none"/>
        </w:rPr>
        <w:t>参与招标投标活动的各方应对招标文件和投标文件中的商业和技术等秘密保密，违者应对由此造成的后果承担法律责任。</w:t>
      </w:r>
    </w:p>
    <w:p w14:paraId="7D6EF982">
      <w:pPr>
        <w:pStyle w:val="13"/>
        <w:numPr>
          <w:ilvl w:val="1"/>
          <w:numId w:val="5"/>
        </w:numPr>
        <w:tabs>
          <w:tab w:val="left" w:pos="704"/>
        </w:tabs>
        <w:spacing w:line="290" w:lineRule="exact"/>
        <w:rPr>
          <w:highlight w:val="none"/>
        </w:rPr>
      </w:pPr>
      <w:r>
        <w:rPr>
          <w:rFonts w:hint="eastAsia"/>
          <w:highlight w:val="none"/>
        </w:rPr>
        <w:t>语言文字</w:t>
      </w:r>
    </w:p>
    <w:p w14:paraId="4D2BDF59">
      <w:pPr>
        <w:pStyle w:val="3"/>
        <w:spacing w:before="142"/>
        <w:ind w:right="-105" w:rightChars="-50" w:firstLine="659" w:firstLineChars="314"/>
        <w:rPr>
          <w:highlight w:val="none"/>
        </w:rPr>
      </w:pPr>
      <w:r>
        <w:rPr>
          <w:rFonts w:hint="eastAsia"/>
          <w:highlight w:val="none"/>
        </w:rPr>
        <w:t>除专用术语外，与招标投标有关的语言均使用中文。必要时专用术语应附有中文注释。</w:t>
      </w:r>
    </w:p>
    <w:p w14:paraId="54487D1E">
      <w:pPr>
        <w:pStyle w:val="13"/>
        <w:numPr>
          <w:ilvl w:val="1"/>
          <w:numId w:val="5"/>
        </w:numPr>
        <w:tabs>
          <w:tab w:val="left" w:pos="420"/>
        </w:tabs>
        <w:spacing w:before="133"/>
        <w:ind w:hanging="483"/>
        <w:rPr>
          <w:highlight w:val="none"/>
        </w:rPr>
      </w:pPr>
      <w:r>
        <w:rPr>
          <w:rFonts w:hint="eastAsia"/>
          <w:highlight w:val="none"/>
        </w:rPr>
        <w:t>计量单位</w:t>
      </w:r>
    </w:p>
    <w:p w14:paraId="1BB56413">
      <w:pPr>
        <w:pStyle w:val="3"/>
        <w:spacing w:before="155"/>
        <w:ind w:left="698"/>
        <w:rPr>
          <w:highlight w:val="none"/>
        </w:rPr>
      </w:pPr>
      <w:r>
        <w:rPr>
          <w:rFonts w:hint="eastAsia"/>
          <w:highlight w:val="none"/>
        </w:rPr>
        <w:t>所有计量均采用中华人民共和国法定计量单位。</w:t>
      </w:r>
    </w:p>
    <w:p w14:paraId="13A0BB85">
      <w:pPr>
        <w:pStyle w:val="13"/>
        <w:numPr>
          <w:ilvl w:val="1"/>
          <w:numId w:val="5"/>
        </w:numPr>
        <w:tabs>
          <w:tab w:val="left" w:pos="420"/>
        </w:tabs>
        <w:spacing w:before="130"/>
        <w:ind w:hanging="483"/>
        <w:rPr>
          <w:highlight w:val="none"/>
        </w:rPr>
      </w:pPr>
      <w:r>
        <w:rPr>
          <w:rFonts w:hint="eastAsia"/>
          <w:highlight w:val="none"/>
        </w:rPr>
        <w:t>踏勘现场（本项目不组织，自行勘察）</w:t>
      </w:r>
    </w:p>
    <w:p w14:paraId="3E1F7E09">
      <w:pPr>
        <w:pStyle w:val="31"/>
        <w:numPr>
          <w:ilvl w:val="2"/>
          <w:numId w:val="5"/>
        </w:numPr>
        <w:tabs>
          <w:tab w:val="left" w:pos="1330"/>
        </w:tabs>
        <w:spacing w:before="152" w:line="355" w:lineRule="auto"/>
        <w:ind w:left="18" w:right="56" w:firstLine="680"/>
        <w:rPr>
          <w:sz w:val="21"/>
          <w:highlight w:val="none"/>
        </w:rPr>
      </w:pPr>
      <w:r>
        <w:rPr>
          <w:rFonts w:hint="eastAsia"/>
          <w:spacing w:val="-3"/>
          <w:sz w:val="21"/>
          <w:highlight w:val="none"/>
        </w:rPr>
        <w:t>投标人须知前附表规定组织踏勘现场的，采购人按投标人须知前附表规定的时间、地点组织投标人踏勘项目现场。</w:t>
      </w:r>
    </w:p>
    <w:p w14:paraId="6A68AB9F">
      <w:pPr>
        <w:pStyle w:val="31"/>
        <w:numPr>
          <w:ilvl w:val="2"/>
          <w:numId w:val="5"/>
        </w:numPr>
        <w:tabs>
          <w:tab w:val="left" w:pos="1330"/>
        </w:tabs>
        <w:spacing w:before="35"/>
        <w:ind w:left="1330"/>
        <w:rPr>
          <w:sz w:val="21"/>
          <w:highlight w:val="none"/>
        </w:rPr>
      </w:pPr>
      <w:r>
        <w:rPr>
          <w:rFonts w:hint="eastAsia"/>
          <w:spacing w:val="-3"/>
          <w:sz w:val="21"/>
          <w:highlight w:val="none"/>
        </w:rPr>
        <w:t>投标人踏勘现场发生的费用自理。</w:t>
      </w:r>
    </w:p>
    <w:p w14:paraId="3B1909A8">
      <w:pPr>
        <w:pStyle w:val="31"/>
        <w:numPr>
          <w:ilvl w:val="2"/>
          <w:numId w:val="5"/>
        </w:numPr>
        <w:tabs>
          <w:tab w:val="left" w:pos="1330"/>
        </w:tabs>
        <w:spacing w:before="160"/>
        <w:ind w:left="1330"/>
        <w:rPr>
          <w:sz w:val="21"/>
          <w:highlight w:val="none"/>
        </w:rPr>
      </w:pPr>
      <w:r>
        <w:rPr>
          <w:rFonts w:hint="eastAsia"/>
          <w:spacing w:val="-3"/>
          <w:sz w:val="21"/>
          <w:highlight w:val="none"/>
        </w:rPr>
        <w:t>除采购人的原因外，投标人自行负责在踏勘现场中所发生的人员伤亡和财产损</w:t>
      </w:r>
    </w:p>
    <w:p w14:paraId="0DA536A2">
      <w:pPr>
        <w:pStyle w:val="31"/>
        <w:tabs>
          <w:tab w:val="left" w:pos="1330"/>
        </w:tabs>
        <w:spacing w:before="160"/>
        <w:ind w:left="0" w:firstLine="0"/>
        <w:rPr>
          <w:sz w:val="21"/>
          <w:highlight w:val="none"/>
        </w:rPr>
      </w:pPr>
      <w:r>
        <w:rPr>
          <w:rFonts w:hint="eastAsia"/>
          <w:spacing w:val="-3"/>
          <w:sz w:val="21"/>
          <w:highlight w:val="none"/>
        </w:rPr>
        <w:t>失。</w:t>
      </w:r>
    </w:p>
    <w:p w14:paraId="02F06DC5">
      <w:pPr>
        <w:pStyle w:val="31"/>
        <w:numPr>
          <w:ilvl w:val="2"/>
          <w:numId w:val="5"/>
        </w:numPr>
        <w:tabs>
          <w:tab w:val="left" w:pos="1330"/>
        </w:tabs>
        <w:spacing w:before="161" w:line="355" w:lineRule="auto"/>
        <w:ind w:left="18" w:right="56" w:firstLine="680"/>
        <w:rPr>
          <w:sz w:val="21"/>
          <w:highlight w:val="none"/>
        </w:rPr>
      </w:pPr>
      <w:r>
        <w:rPr>
          <w:rFonts w:hint="eastAsia"/>
          <w:spacing w:val="-3"/>
          <w:sz w:val="21"/>
          <w:highlight w:val="none"/>
        </w:rPr>
        <w:t>采购人在踏勘现场中介绍的工程场地和相关的周边环境情况，供投标人在编制投标文件时参考，采购人不对投标人据此作出的判断和决策负责。</w:t>
      </w:r>
    </w:p>
    <w:p w14:paraId="53D24151">
      <w:pPr>
        <w:pStyle w:val="13"/>
        <w:tabs>
          <w:tab w:val="left" w:pos="824"/>
        </w:tabs>
        <w:spacing w:line="304" w:lineRule="exact"/>
        <w:ind w:left="216" w:leftChars="103" w:firstLine="3"/>
        <w:rPr>
          <w:highlight w:val="none"/>
          <w:lang w:val="en-US"/>
        </w:rPr>
      </w:pPr>
      <w:r>
        <w:rPr>
          <w:rFonts w:hint="eastAsia"/>
          <w:highlight w:val="none"/>
          <w:lang w:val="en-US"/>
        </w:rPr>
        <w:t>1.10 投标预备会（本项目不召开）</w:t>
      </w:r>
    </w:p>
    <w:p w14:paraId="564FE8B4">
      <w:pPr>
        <w:pStyle w:val="31"/>
        <w:tabs>
          <w:tab w:val="left" w:pos="1436"/>
        </w:tabs>
        <w:spacing w:before="152" w:line="355" w:lineRule="auto"/>
        <w:ind w:left="18" w:right="53" w:rightChars="25" w:firstLine="659" w:firstLineChars="340"/>
        <w:rPr>
          <w:sz w:val="21"/>
          <w:highlight w:val="none"/>
        </w:rPr>
      </w:pPr>
      <w:r>
        <w:rPr>
          <w:rFonts w:hint="eastAsia"/>
          <w:spacing w:val="-8"/>
          <w:sz w:val="21"/>
          <w:highlight w:val="none"/>
          <w:lang w:val="en-US"/>
        </w:rPr>
        <w:t xml:space="preserve">1.10.1 </w:t>
      </w:r>
      <w:r>
        <w:rPr>
          <w:rFonts w:hint="eastAsia"/>
          <w:spacing w:val="-3"/>
          <w:sz w:val="21"/>
          <w:highlight w:val="none"/>
        </w:rPr>
        <w:t>投标人须知前附表规定召开投标预备会的，采购人按投标人须知前附表规定的时间和地点召开投标预备会，澄清投标人提出的问题。</w:t>
      </w:r>
    </w:p>
    <w:p w14:paraId="2545516D">
      <w:pPr>
        <w:pStyle w:val="31"/>
        <w:tabs>
          <w:tab w:val="left" w:pos="1436"/>
        </w:tabs>
        <w:spacing w:before="34" w:line="355" w:lineRule="auto"/>
        <w:ind w:left="18" w:right="-136" w:rightChars="-65" w:firstLine="659" w:firstLineChars="340"/>
        <w:rPr>
          <w:sz w:val="21"/>
          <w:highlight w:val="none"/>
        </w:rPr>
      </w:pPr>
      <w:r>
        <w:rPr>
          <w:rFonts w:hint="eastAsia"/>
          <w:spacing w:val="-8"/>
          <w:sz w:val="21"/>
          <w:highlight w:val="none"/>
          <w:lang w:val="en-US"/>
        </w:rPr>
        <w:t xml:space="preserve">1.10.2 </w:t>
      </w:r>
      <w:r>
        <w:rPr>
          <w:rFonts w:hint="eastAsia"/>
          <w:spacing w:val="-3"/>
          <w:sz w:val="21"/>
          <w:highlight w:val="none"/>
        </w:rPr>
        <w:t>投标人应在投标人须知前附表规定的时间前，通过平顶山市公共资源交易中心电子交易平台将提出的问题送达采购人，以便采购人在会议期间澄清。</w:t>
      </w:r>
    </w:p>
    <w:p w14:paraId="1AD1D96B">
      <w:pPr>
        <w:pStyle w:val="31"/>
        <w:tabs>
          <w:tab w:val="left" w:pos="1436"/>
        </w:tabs>
        <w:spacing w:before="35" w:line="357" w:lineRule="auto"/>
        <w:ind w:left="18" w:right="-155" w:rightChars="-74" w:firstLine="605" w:firstLineChars="340"/>
        <w:rPr>
          <w:sz w:val="21"/>
          <w:highlight w:val="none"/>
        </w:rPr>
      </w:pPr>
      <w:r>
        <w:rPr>
          <w:rFonts w:hint="eastAsia"/>
          <w:spacing w:val="-16"/>
          <w:sz w:val="21"/>
          <w:highlight w:val="none"/>
          <w:lang w:val="en-US"/>
        </w:rPr>
        <w:t xml:space="preserve">1.10.3 </w:t>
      </w:r>
      <w:r>
        <w:rPr>
          <w:rFonts w:hint="eastAsia"/>
          <w:spacing w:val="-3"/>
          <w:sz w:val="21"/>
          <w:highlight w:val="none"/>
        </w:rPr>
        <w:t>投标预备会后，采购人在投标人须知前附表规定的时间内，将对投标人所提问题的澄清，通过平顶山市公共资源交易中心电子交易平台通知所有下载招标文件的投标人。该澄清内容为招标文件的组成部分。</w:t>
      </w:r>
    </w:p>
    <w:p w14:paraId="0DF4334E">
      <w:pPr>
        <w:pStyle w:val="13"/>
        <w:tabs>
          <w:tab w:val="left" w:pos="824"/>
        </w:tabs>
        <w:spacing w:line="304" w:lineRule="exact"/>
        <w:ind w:left="216" w:leftChars="103" w:firstLine="3"/>
        <w:rPr>
          <w:highlight w:val="none"/>
        </w:rPr>
      </w:pPr>
      <w:r>
        <w:rPr>
          <w:rFonts w:hint="eastAsia"/>
          <w:highlight w:val="none"/>
          <w:lang w:val="en-US"/>
        </w:rPr>
        <w:t xml:space="preserve">1.11 </w:t>
      </w:r>
      <w:r>
        <w:rPr>
          <w:rFonts w:hint="eastAsia"/>
          <w:highlight w:val="none"/>
        </w:rPr>
        <w:t>分包</w:t>
      </w:r>
    </w:p>
    <w:p w14:paraId="50586DCB">
      <w:pPr>
        <w:pStyle w:val="3"/>
        <w:spacing w:before="214"/>
        <w:ind w:firstLine="630" w:firstLineChars="300"/>
        <w:rPr>
          <w:highlight w:val="none"/>
        </w:rPr>
      </w:pPr>
      <w:r>
        <w:rPr>
          <w:rFonts w:hint="eastAsia"/>
          <w:highlight w:val="none"/>
        </w:rPr>
        <w:t>本项目不允许分包。</w:t>
      </w:r>
    </w:p>
    <w:p w14:paraId="4B94B280">
      <w:pPr>
        <w:pStyle w:val="13"/>
        <w:tabs>
          <w:tab w:val="left" w:pos="824"/>
        </w:tabs>
        <w:spacing w:before="130"/>
        <w:ind w:left="216" w:leftChars="103" w:firstLine="3"/>
        <w:rPr>
          <w:highlight w:val="none"/>
        </w:rPr>
      </w:pPr>
      <w:r>
        <w:rPr>
          <w:rFonts w:hint="eastAsia"/>
          <w:highlight w:val="none"/>
          <w:lang w:val="en-US"/>
        </w:rPr>
        <w:t xml:space="preserve">1.12 </w:t>
      </w:r>
      <w:r>
        <w:rPr>
          <w:rFonts w:hint="eastAsia"/>
          <w:highlight w:val="none"/>
        </w:rPr>
        <w:t>偏离</w:t>
      </w:r>
    </w:p>
    <w:p w14:paraId="739946ED">
      <w:pPr>
        <w:pStyle w:val="3"/>
        <w:spacing w:before="155" w:line="355" w:lineRule="auto"/>
        <w:ind w:left="218" w:right="76" w:firstLine="480"/>
        <w:rPr>
          <w:b/>
          <w:sz w:val="28"/>
          <w:highlight w:val="none"/>
          <w:lang w:val="en-US"/>
        </w:rPr>
      </w:pPr>
      <w:r>
        <w:rPr>
          <w:rFonts w:hint="eastAsia"/>
          <w:highlight w:val="none"/>
        </w:rPr>
        <w:t>偏离应当符合招标文件规定的偏离范围和幅度。</w:t>
      </w:r>
      <w:bookmarkStart w:id="9" w:name="_bookmark4"/>
      <w:bookmarkEnd w:id="9"/>
    </w:p>
    <w:p w14:paraId="2C9FB2AA">
      <w:pPr>
        <w:pStyle w:val="31"/>
        <w:tabs>
          <w:tab w:val="left" w:pos="4413"/>
        </w:tabs>
        <w:ind w:left="77" w:leftChars="-100" w:hanging="287" w:hangingChars="102"/>
        <w:rPr>
          <w:b/>
          <w:sz w:val="28"/>
          <w:highlight w:val="none"/>
        </w:rPr>
      </w:pPr>
      <w:r>
        <w:rPr>
          <w:rFonts w:hint="eastAsia"/>
          <w:b/>
          <w:sz w:val="28"/>
          <w:highlight w:val="none"/>
          <w:lang w:val="en-US"/>
        </w:rPr>
        <w:t>2.</w:t>
      </w:r>
      <w:r>
        <w:rPr>
          <w:rFonts w:hint="eastAsia"/>
          <w:b/>
          <w:sz w:val="28"/>
          <w:highlight w:val="none"/>
        </w:rPr>
        <w:t>招标文件</w:t>
      </w:r>
    </w:p>
    <w:p w14:paraId="106B34FA">
      <w:pPr>
        <w:pStyle w:val="13"/>
        <w:tabs>
          <w:tab w:val="left" w:pos="824"/>
        </w:tabs>
        <w:spacing w:before="130"/>
        <w:ind w:left="218" w:firstLine="0"/>
        <w:rPr>
          <w:highlight w:val="none"/>
          <w:lang w:val="en-US"/>
        </w:rPr>
      </w:pPr>
      <w:r>
        <w:rPr>
          <w:rFonts w:hint="eastAsia"/>
          <w:highlight w:val="none"/>
          <w:lang w:val="en-US"/>
        </w:rPr>
        <w:t>2.1招标文件的组成</w:t>
      </w:r>
    </w:p>
    <w:p w14:paraId="1CD58653">
      <w:pPr>
        <w:pStyle w:val="3"/>
        <w:spacing w:before="155"/>
        <w:ind w:left="698"/>
        <w:rPr>
          <w:highlight w:val="none"/>
        </w:rPr>
      </w:pPr>
      <w:r>
        <w:rPr>
          <w:rFonts w:hint="eastAsia"/>
          <w:highlight w:val="none"/>
        </w:rPr>
        <w:t>本招标文件包括：</w:t>
      </w:r>
    </w:p>
    <w:p w14:paraId="2B204670">
      <w:pPr>
        <w:pStyle w:val="31"/>
        <w:numPr>
          <w:ilvl w:val="2"/>
          <w:numId w:val="6"/>
        </w:numPr>
        <w:tabs>
          <w:tab w:val="left" w:pos="1228"/>
        </w:tabs>
        <w:spacing w:before="160"/>
        <w:rPr>
          <w:sz w:val="21"/>
          <w:highlight w:val="none"/>
        </w:rPr>
      </w:pPr>
      <w:r>
        <w:rPr>
          <w:rFonts w:hint="eastAsia"/>
          <w:spacing w:val="-2"/>
          <w:sz w:val="21"/>
          <w:highlight w:val="none"/>
        </w:rPr>
        <w:t>招标公告</w:t>
      </w:r>
    </w:p>
    <w:p w14:paraId="40F922FC">
      <w:pPr>
        <w:pStyle w:val="31"/>
        <w:numPr>
          <w:ilvl w:val="2"/>
          <w:numId w:val="6"/>
        </w:numPr>
        <w:tabs>
          <w:tab w:val="left" w:pos="1228"/>
        </w:tabs>
        <w:spacing w:before="162"/>
        <w:rPr>
          <w:sz w:val="21"/>
          <w:highlight w:val="none"/>
        </w:rPr>
      </w:pPr>
      <w:r>
        <w:rPr>
          <w:rFonts w:hint="eastAsia"/>
          <w:spacing w:val="-3"/>
          <w:sz w:val="21"/>
          <w:highlight w:val="none"/>
        </w:rPr>
        <w:t>投标人须知</w:t>
      </w:r>
    </w:p>
    <w:p w14:paraId="712385D7">
      <w:pPr>
        <w:pStyle w:val="31"/>
        <w:numPr>
          <w:ilvl w:val="2"/>
          <w:numId w:val="6"/>
        </w:numPr>
        <w:tabs>
          <w:tab w:val="left" w:pos="1228"/>
        </w:tabs>
        <w:spacing w:before="163"/>
        <w:rPr>
          <w:sz w:val="21"/>
          <w:highlight w:val="none"/>
        </w:rPr>
      </w:pPr>
      <w:r>
        <w:rPr>
          <w:rFonts w:hint="eastAsia"/>
          <w:spacing w:val="-3"/>
          <w:sz w:val="21"/>
          <w:highlight w:val="none"/>
        </w:rPr>
        <w:t>评标办法</w:t>
      </w:r>
    </w:p>
    <w:p w14:paraId="2CA56553">
      <w:pPr>
        <w:pStyle w:val="31"/>
        <w:numPr>
          <w:ilvl w:val="2"/>
          <w:numId w:val="6"/>
        </w:numPr>
        <w:tabs>
          <w:tab w:val="left" w:pos="1228"/>
        </w:tabs>
        <w:spacing w:before="160"/>
        <w:rPr>
          <w:sz w:val="21"/>
          <w:highlight w:val="none"/>
        </w:rPr>
      </w:pPr>
      <w:r>
        <w:rPr>
          <w:rFonts w:hint="eastAsia"/>
          <w:spacing w:val="-3"/>
          <w:sz w:val="21"/>
          <w:highlight w:val="none"/>
        </w:rPr>
        <w:t>合同条款及格式</w:t>
      </w:r>
    </w:p>
    <w:p w14:paraId="76B75945">
      <w:pPr>
        <w:pStyle w:val="31"/>
        <w:numPr>
          <w:ilvl w:val="2"/>
          <w:numId w:val="6"/>
        </w:numPr>
        <w:tabs>
          <w:tab w:val="left" w:pos="1228"/>
        </w:tabs>
        <w:spacing w:before="160"/>
        <w:rPr>
          <w:sz w:val="21"/>
          <w:highlight w:val="none"/>
        </w:rPr>
      </w:pPr>
      <w:r>
        <w:rPr>
          <w:rFonts w:hint="eastAsia"/>
          <w:spacing w:val="-2"/>
          <w:sz w:val="21"/>
          <w:highlight w:val="none"/>
          <w:lang w:val="en-US"/>
        </w:rPr>
        <w:t>服务</w:t>
      </w:r>
      <w:r>
        <w:rPr>
          <w:rFonts w:hint="eastAsia"/>
          <w:spacing w:val="-2"/>
          <w:sz w:val="21"/>
          <w:highlight w:val="none"/>
        </w:rPr>
        <w:t>内容及技术要求</w:t>
      </w:r>
    </w:p>
    <w:p w14:paraId="3728FBF8">
      <w:pPr>
        <w:pStyle w:val="31"/>
        <w:numPr>
          <w:ilvl w:val="2"/>
          <w:numId w:val="6"/>
        </w:numPr>
        <w:tabs>
          <w:tab w:val="left" w:pos="1228"/>
        </w:tabs>
        <w:spacing w:before="160"/>
        <w:rPr>
          <w:sz w:val="21"/>
          <w:highlight w:val="none"/>
        </w:rPr>
      </w:pPr>
      <w:r>
        <w:rPr>
          <w:rFonts w:hint="eastAsia"/>
          <w:spacing w:val="-3"/>
          <w:sz w:val="21"/>
          <w:highlight w:val="none"/>
        </w:rPr>
        <w:t>投标文件格式</w:t>
      </w:r>
    </w:p>
    <w:p w14:paraId="448744FB">
      <w:pPr>
        <w:pStyle w:val="3"/>
        <w:spacing w:before="160" w:line="357" w:lineRule="auto"/>
        <w:ind w:left="218" w:right="-144" w:firstLine="480"/>
        <w:rPr>
          <w:highlight w:val="none"/>
        </w:rPr>
      </w:pPr>
      <w:r>
        <w:rPr>
          <w:rFonts w:hint="eastAsia"/>
          <w:highlight w:val="none"/>
        </w:rPr>
        <w:t>根据本章招标文件所作的澄清、修改，构成招标文件的组成部分。</w:t>
      </w:r>
    </w:p>
    <w:p w14:paraId="7FC37602">
      <w:pPr>
        <w:pStyle w:val="13"/>
        <w:tabs>
          <w:tab w:val="left" w:pos="824"/>
        </w:tabs>
        <w:spacing w:beforeLines="10" w:afterLines="37"/>
        <w:ind w:left="59" w:leftChars="28" w:firstLine="241" w:firstLineChars="100"/>
        <w:rPr>
          <w:highlight w:val="none"/>
        </w:rPr>
      </w:pPr>
      <w:r>
        <w:rPr>
          <w:rFonts w:hint="eastAsia"/>
          <w:highlight w:val="none"/>
          <w:lang w:val="en-US"/>
        </w:rPr>
        <w:t xml:space="preserve">2.2 </w:t>
      </w:r>
      <w:r>
        <w:rPr>
          <w:rFonts w:hint="eastAsia"/>
          <w:highlight w:val="none"/>
        </w:rPr>
        <w:t>招标文件的澄清</w:t>
      </w:r>
    </w:p>
    <w:p w14:paraId="4A570909">
      <w:pPr>
        <w:pStyle w:val="31"/>
        <w:tabs>
          <w:tab w:val="left" w:pos="1270"/>
          <w:tab w:val="left" w:pos="8140"/>
        </w:tabs>
        <w:spacing w:line="360" w:lineRule="auto"/>
        <w:ind w:left="0" w:firstLine="426" w:firstLineChars="209"/>
        <w:jc w:val="both"/>
        <w:rPr>
          <w:spacing w:val="-3"/>
          <w:kern w:val="2"/>
          <w:sz w:val="21"/>
          <w:highlight w:val="none"/>
          <w:lang w:val="en-US"/>
        </w:rPr>
      </w:pPr>
      <w:r>
        <w:rPr>
          <w:rFonts w:hint="eastAsia"/>
          <w:spacing w:val="-3"/>
          <w:kern w:val="2"/>
          <w:sz w:val="21"/>
          <w:highlight w:val="none"/>
          <w:lang w:val="en-US"/>
        </w:rPr>
        <w:t xml:space="preserve">2.2.1 投标人应仔细阅读和检查招标文件的全部内容。如发现缺页或附件不全或者疑问，应在投标人须知前附表规定的时间前在电子交易系统中提出，并告知代理机构，要求采购人对招标文件予以澄清。      </w:t>
      </w:r>
    </w:p>
    <w:p w14:paraId="66630D1A">
      <w:pPr>
        <w:pStyle w:val="31"/>
        <w:tabs>
          <w:tab w:val="left" w:pos="1270"/>
          <w:tab w:val="left" w:pos="8140"/>
        </w:tabs>
        <w:spacing w:line="360" w:lineRule="auto"/>
        <w:ind w:left="0" w:firstLine="448" w:firstLineChars="220"/>
        <w:jc w:val="both"/>
        <w:rPr>
          <w:b/>
          <w:bCs/>
          <w:highlight w:val="none"/>
          <w:lang w:val="en-US"/>
        </w:rPr>
      </w:pPr>
      <w:r>
        <w:rPr>
          <w:rFonts w:hint="eastAsia"/>
          <w:spacing w:val="-3"/>
          <w:kern w:val="2"/>
          <w:sz w:val="21"/>
          <w:highlight w:val="none"/>
          <w:lang w:val="en-US"/>
        </w:rPr>
        <w:t>2.2.2 招标文件的澄清将在投标人须知前附表规定的投标截止时间15天前在电子交易系统中予以澄清形式公示给所有下载招标文件的投标人，但不指明澄清问题的来源。如果澄清发出的时间距投标截止时间不足</w:t>
      </w:r>
      <w:r>
        <w:rPr>
          <w:rFonts w:hint="eastAsia"/>
          <w:spacing w:val="-3"/>
          <w:sz w:val="21"/>
          <w:highlight w:val="none"/>
        </w:rPr>
        <w:t>15天的，相应延长投标截止时间。</w:t>
      </w:r>
    </w:p>
    <w:p w14:paraId="027A0084">
      <w:pPr>
        <w:pStyle w:val="14"/>
        <w:tabs>
          <w:tab w:val="left" w:pos="704"/>
          <w:tab w:val="left" w:pos="8140"/>
        </w:tabs>
        <w:spacing w:beforeLines="30" w:afterLines="30"/>
        <w:ind w:left="0" w:firstLine="241" w:firstLineChars="100"/>
        <w:rPr>
          <w:b/>
          <w:bCs/>
          <w:highlight w:val="none"/>
          <w:lang w:val="en-US"/>
        </w:rPr>
      </w:pPr>
      <w:r>
        <w:rPr>
          <w:rFonts w:hint="eastAsia"/>
          <w:b/>
          <w:bCs/>
          <w:highlight w:val="none"/>
          <w:lang w:val="en-US"/>
        </w:rPr>
        <w:t>2.3 招标文件的修改</w:t>
      </w:r>
    </w:p>
    <w:p w14:paraId="16497AAF">
      <w:pPr>
        <w:snapToGrid w:val="0"/>
        <w:spacing w:line="360" w:lineRule="auto"/>
        <w:ind w:firstLine="612" w:firstLineChars="300"/>
        <w:rPr>
          <w:rFonts w:ascii="宋体" w:hAnsi="宋体" w:cs="宋体"/>
          <w:spacing w:val="-3"/>
          <w:highlight w:val="none"/>
        </w:rPr>
      </w:pPr>
      <w:r>
        <w:rPr>
          <w:rFonts w:hint="eastAsia" w:ascii="宋体" w:hAnsi="宋体" w:cs="宋体"/>
          <w:spacing w:val="-3"/>
          <w:highlight w:val="none"/>
        </w:rPr>
        <w:t>2.3.1在投标截止日15天前，采购人或采购代理机构可以在电子交易系统中补充、修改招标文件，并公示给所有下载招标文件的投标人。如果修改招标文件的时间距投标截止时间不足15天的，相应延长投标截止时间。</w:t>
      </w:r>
    </w:p>
    <w:p w14:paraId="253B9A9D">
      <w:pPr>
        <w:pStyle w:val="31"/>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3.投标文件</w:t>
      </w:r>
    </w:p>
    <w:p w14:paraId="7079D87B">
      <w:pPr>
        <w:snapToGrid w:val="0"/>
        <w:spacing w:line="360" w:lineRule="auto"/>
        <w:rPr>
          <w:rFonts w:ascii="宋体" w:hAnsi="宋体" w:cs="宋体"/>
          <w:b/>
          <w:bCs/>
          <w:kern w:val="0"/>
          <w:szCs w:val="21"/>
          <w:highlight w:val="none"/>
        </w:rPr>
      </w:pPr>
      <w:r>
        <w:rPr>
          <w:rFonts w:hint="eastAsia" w:ascii="宋体" w:hAnsi="宋体" w:cs="宋体"/>
          <w:b/>
          <w:bCs/>
          <w:kern w:val="0"/>
          <w:sz w:val="24"/>
          <w:highlight w:val="none"/>
        </w:rPr>
        <w:t>3.</w:t>
      </w:r>
      <w:r>
        <w:rPr>
          <w:rFonts w:hint="eastAsia" w:ascii="宋体" w:hAnsi="宋体" w:cs="宋体"/>
          <w:b/>
          <w:bCs/>
          <w:kern w:val="0"/>
          <w:szCs w:val="21"/>
          <w:highlight w:val="none"/>
        </w:rPr>
        <w:t>1 投标文件的组成：</w:t>
      </w:r>
    </w:p>
    <w:p w14:paraId="64D89374">
      <w:pPr>
        <w:pStyle w:val="31"/>
        <w:tabs>
          <w:tab w:val="left" w:pos="1270"/>
          <w:tab w:val="left" w:pos="8140"/>
        </w:tabs>
        <w:spacing w:line="360" w:lineRule="auto"/>
        <w:ind w:left="0" w:firstLine="426" w:firstLineChars="209"/>
        <w:jc w:val="both"/>
        <w:rPr>
          <w:spacing w:val="-3"/>
          <w:kern w:val="2"/>
          <w:sz w:val="21"/>
          <w:szCs w:val="21"/>
          <w:highlight w:val="none"/>
          <w:lang w:val="en-US"/>
        </w:rPr>
      </w:pPr>
      <w:r>
        <w:rPr>
          <w:rFonts w:hint="eastAsia"/>
          <w:spacing w:val="-3"/>
          <w:sz w:val="21"/>
          <w:szCs w:val="21"/>
          <w:highlight w:val="none"/>
        </w:rPr>
        <w:t>3.1.</w:t>
      </w:r>
      <w:r>
        <w:rPr>
          <w:rFonts w:hint="eastAsia"/>
          <w:spacing w:val="-3"/>
          <w:kern w:val="2"/>
          <w:sz w:val="21"/>
          <w:szCs w:val="21"/>
          <w:highlight w:val="none"/>
          <w:lang w:val="en-US"/>
        </w:rPr>
        <w:t>1 投标文件应包含下列内容：</w:t>
      </w:r>
    </w:p>
    <w:p w14:paraId="2D74518A">
      <w:pPr>
        <w:spacing w:line="360" w:lineRule="auto"/>
        <w:ind w:left="420" w:leftChars="200"/>
        <w:rPr>
          <w:rFonts w:ascii="宋体" w:hAnsi="宋体" w:cs="宋体"/>
          <w:szCs w:val="21"/>
          <w:highlight w:val="none"/>
        </w:rPr>
      </w:pPr>
      <w:r>
        <w:rPr>
          <w:rFonts w:hint="eastAsia" w:ascii="宋体" w:hAnsi="宋体" w:cs="宋体"/>
          <w:szCs w:val="21"/>
          <w:highlight w:val="none"/>
        </w:rPr>
        <w:t>一、投标函及投标函附录</w:t>
      </w:r>
    </w:p>
    <w:p w14:paraId="6FA55C5C">
      <w:pPr>
        <w:spacing w:line="360" w:lineRule="auto"/>
        <w:ind w:left="420" w:leftChars="200"/>
        <w:rPr>
          <w:rFonts w:ascii="宋体" w:hAnsi="宋体" w:cs="宋体"/>
          <w:szCs w:val="21"/>
          <w:highlight w:val="none"/>
        </w:rPr>
      </w:pPr>
      <w:r>
        <w:rPr>
          <w:rFonts w:hint="eastAsia" w:ascii="宋体" w:hAnsi="宋体" w:cs="宋体"/>
          <w:szCs w:val="21"/>
          <w:highlight w:val="none"/>
        </w:rPr>
        <w:t>二、法定代表人（负责人）身份证明</w:t>
      </w:r>
    </w:p>
    <w:p w14:paraId="54A602DF">
      <w:pPr>
        <w:spacing w:line="360" w:lineRule="auto"/>
        <w:ind w:left="420" w:leftChars="200"/>
        <w:rPr>
          <w:rFonts w:ascii="宋体" w:hAnsi="宋体" w:cs="宋体"/>
          <w:szCs w:val="21"/>
          <w:highlight w:val="none"/>
        </w:rPr>
      </w:pPr>
      <w:r>
        <w:rPr>
          <w:rFonts w:hint="eastAsia" w:ascii="宋体" w:hAnsi="宋体" w:cs="宋体"/>
          <w:szCs w:val="21"/>
          <w:highlight w:val="none"/>
        </w:rPr>
        <w:t>三、授权委托书</w:t>
      </w:r>
    </w:p>
    <w:p w14:paraId="2B32D138">
      <w:pPr>
        <w:spacing w:line="360" w:lineRule="auto"/>
        <w:ind w:left="420" w:leftChars="200"/>
        <w:rPr>
          <w:rFonts w:ascii="宋体" w:hAnsi="宋体" w:cs="宋体"/>
          <w:spacing w:val="7"/>
          <w:szCs w:val="21"/>
          <w:highlight w:val="none"/>
        </w:rPr>
      </w:pPr>
      <w:r>
        <w:rPr>
          <w:rFonts w:hint="eastAsia" w:ascii="宋体" w:hAnsi="宋体" w:cs="宋体"/>
          <w:spacing w:val="7"/>
          <w:szCs w:val="21"/>
          <w:highlight w:val="none"/>
        </w:rPr>
        <w:t>四、投标分项报价明细表</w:t>
      </w:r>
    </w:p>
    <w:p w14:paraId="2285E8BE">
      <w:pPr>
        <w:spacing w:line="360" w:lineRule="auto"/>
        <w:ind w:left="420" w:leftChars="200"/>
        <w:rPr>
          <w:rFonts w:ascii="宋体" w:hAnsi="宋体" w:cs="宋体"/>
          <w:szCs w:val="21"/>
          <w:highlight w:val="none"/>
        </w:rPr>
      </w:pPr>
      <w:r>
        <w:rPr>
          <w:rFonts w:hint="eastAsia" w:ascii="宋体" w:hAnsi="宋体" w:cs="宋体"/>
          <w:szCs w:val="21"/>
          <w:highlight w:val="none"/>
        </w:rPr>
        <w:t>五、供应商资格证明文件</w:t>
      </w:r>
    </w:p>
    <w:p w14:paraId="500485FD">
      <w:pPr>
        <w:spacing w:line="360" w:lineRule="auto"/>
        <w:ind w:left="420" w:leftChars="200"/>
        <w:rPr>
          <w:rFonts w:ascii="宋体" w:hAnsi="宋体" w:cs="宋体"/>
          <w:szCs w:val="21"/>
          <w:highlight w:val="none"/>
        </w:rPr>
      </w:pPr>
      <w:r>
        <w:rPr>
          <w:rFonts w:hint="eastAsia" w:ascii="宋体" w:hAnsi="宋体" w:cs="宋体"/>
          <w:szCs w:val="21"/>
          <w:highlight w:val="none"/>
        </w:rPr>
        <w:t>六、技术要求偏离表</w:t>
      </w:r>
    </w:p>
    <w:p w14:paraId="24824ECA">
      <w:pPr>
        <w:spacing w:line="360" w:lineRule="auto"/>
        <w:ind w:left="420" w:leftChars="200"/>
        <w:rPr>
          <w:rFonts w:ascii="宋体" w:hAnsi="宋体" w:cs="宋体"/>
          <w:szCs w:val="21"/>
          <w:highlight w:val="none"/>
        </w:rPr>
      </w:pPr>
      <w:r>
        <w:rPr>
          <w:rFonts w:hint="eastAsia" w:ascii="宋体" w:hAnsi="宋体" w:cs="宋体"/>
          <w:szCs w:val="21"/>
          <w:highlight w:val="none"/>
        </w:rPr>
        <w:t>七、综合部分</w:t>
      </w:r>
    </w:p>
    <w:p w14:paraId="09DCACE7">
      <w:pPr>
        <w:spacing w:line="360" w:lineRule="auto"/>
        <w:ind w:left="420" w:leftChars="200"/>
        <w:rPr>
          <w:rFonts w:ascii="宋体" w:hAnsi="宋体" w:cs="宋体"/>
          <w:szCs w:val="21"/>
          <w:highlight w:val="none"/>
        </w:rPr>
      </w:pPr>
      <w:r>
        <w:rPr>
          <w:rFonts w:hint="eastAsia" w:ascii="宋体" w:hAnsi="宋体" w:cs="宋体"/>
          <w:szCs w:val="21"/>
          <w:highlight w:val="none"/>
        </w:rPr>
        <w:t>八、技术部分</w:t>
      </w:r>
    </w:p>
    <w:p w14:paraId="2BACB0AC">
      <w:pPr>
        <w:spacing w:line="360" w:lineRule="auto"/>
        <w:ind w:left="420" w:leftChars="200"/>
        <w:rPr>
          <w:rFonts w:ascii="宋体" w:hAnsi="宋体" w:cs="宋体"/>
          <w:b/>
          <w:bCs/>
          <w:sz w:val="24"/>
          <w:highlight w:val="none"/>
        </w:rPr>
      </w:pPr>
      <w:r>
        <w:rPr>
          <w:rFonts w:hint="eastAsia" w:ascii="宋体" w:hAnsi="宋体" w:cs="宋体"/>
          <w:szCs w:val="21"/>
          <w:highlight w:val="none"/>
        </w:rPr>
        <w:t>九、供应商认为需提交的其他材料</w:t>
      </w:r>
    </w:p>
    <w:p w14:paraId="357ACB14">
      <w:pPr>
        <w:pStyle w:val="13"/>
        <w:tabs>
          <w:tab w:val="left" w:pos="704"/>
        </w:tabs>
        <w:spacing w:before="10" w:line="360" w:lineRule="auto"/>
        <w:ind w:left="0" w:right="-136" w:rightChars="-65" w:firstLine="0"/>
        <w:rPr>
          <w:highlight w:val="none"/>
          <w:lang w:val="en-US"/>
        </w:rPr>
      </w:pPr>
      <w:r>
        <w:rPr>
          <w:rFonts w:hint="eastAsia"/>
          <w:highlight w:val="none"/>
          <w:lang w:val="en-US"/>
        </w:rPr>
        <w:t>3.2 投标报价</w:t>
      </w:r>
    </w:p>
    <w:p w14:paraId="5F94D89F">
      <w:pPr>
        <w:tabs>
          <w:tab w:val="left" w:pos="1080"/>
        </w:tabs>
        <w:spacing w:line="360" w:lineRule="auto"/>
        <w:ind w:firstLine="408" w:firstLineChars="200"/>
        <w:rPr>
          <w:rFonts w:ascii="宋体" w:hAnsi="宋体" w:cs="宋体"/>
          <w:spacing w:val="-3"/>
          <w:highlight w:val="none"/>
        </w:rPr>
      </w:pPr>
      <w:r>
        <w:rPr>
          <w:rFonts w:hint="eastAsia" w:ascii="宋体" w:hAnsi="宋体" w:cs="宋体"/>
          <w:spacing w:val="-3"/>
          <w:highlight w:val="none"/>
        </w:rPr>
        <w:t>3.2.1投标报价由投标人根据自己的实际情况合理自主报价，但不得低于成本竞争。</w:t>
      </w:r>
    </w:p>
    <w:p w14:paraId="25D2EE58">
      <w:pPr>
        <w:tabs>
          <w:tab w:val="left" w:pos="1080"/>
        </w:tabs>
        <w:spacing w:line="360" w:lineRule="auto"/>
        <w:ind w:firstLine="408" w:firstLineChars="200"/>
        <w:rPr>
          <w:rFonts w:ascii="宋体" w:hAnsi="宋体" w:cs="宋体"/>
          <w:spacing w:val="-3"/>
          <w:highlight w:val="none"/>
        </w:rPr>
      </w:pPr>
      <w:r>
        <w:rPr>
          <w:rFonts w:hint="eastAsia" w:ascii="宋体" w:hAnsi="宋体" w:cs="宋体"/>
          <w:spacing w:val="-3"/>
          <w:highlight w:val="none"/>
        </w:rPr>
        <w:t>3.2.2投标报价应包含招标文件要求供应商承担的所有费用，包括所投产品的成本、税金、保险、安装、调试、验收、技术服务、培训、维护升级等相关的伴随服务费、所投产品在货到验收合格前产生的任何检验、监测与之相关的所有费用由中标人承担产品本身已支付或将支付的各种税费以及其它交付使用前的所有费用。</w:t>
      </w:r>
    </w:p>
    <w:p w14:paraId="3EE91939">
      <w:pPr>
        <w:pStyle w:val="31"/>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3.2.3 </w:t>
      </w:r>
      <w:r>
        <w:rPr>
          <w:rFonts w:hint="eastAsia"/>
          <w:spacing w:val="-3"/>
          <w:sz w:val="21"/>
          <w:highlight w:val="none"/>
        </w:rPr>
        <w:t>投标人应充分了解该项目的总体情况以及影响投标报价的其他要素。</w:t>
      </w:r>
    </w:p>
    <w:p w14:paraId="38A064BF">
      <w:pPr>
        <w:pStyle w:val="31"/>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3.2.4 </w:t>
      </w:r>
      <w:r>
        <w:rPr>
          <w:rFonts w:hint="eastAsia"/>
          <w:spacing w:val="-3"/>
          <w:sz w:val="21"/>
          <w:highlight w:val="none"/>
        </w:rPr>
        <w:t>采购人设有最高投标限价的，投标人的投标报价不得超过最高投标限价，最高投标限价在投标人须知前附表中载明。</w:t>
      </w:r>
    </w:p>
    <w:p w14:paraId="32A31721">
      <w:pPr>
        <w:pStyle w:val="31"/>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3.3 投标有效期</w:t>
      </w:r>
    </w:p>
    <w:p w14:paraId="19A87550">
      <w:pPr>
        <w:pStyle w:val="31"/>
        <w:tabs>
          <w:tab w:val="left" w:pos="1270"/>
        </w:tabs>
        <w:spacing w:line="360" w:lineRule="auto"/>
        <w:ind w:left="420" w:firstLine="0"/>
        <w:rPr>
          <w:spacing w:val="-3"/>
          <w:sz w:val="21"/>
          <w:highlight w:val="none"/>
        </w:rPr>
      </w:pPr>
      <w:r>
        <w:rPr>
          <w:rFonts w:hint="eastAsia"/>
          <w:spacing w:val="-3"/>
          <w:sz w:val="21"/>
          <w:highlight w:val="none"/>
          <w:lang w:val="en-US"/>
        </w:rPr>
        <w:t xml:space="preserve">3.3.1 </w:t>
      </w:r>
      <w:r>
        <w:rPr>
          <w:rFonts w:hint="eastAsia"/>
          <w:spacing w:val="-3"/>
          <w:sz w:val="21"/>
          <w:highlight w:val="none"/>
        </w:rPr>
        <w:t>除投标人须知前附表另有规定外，投标有效期为</w:t>
      </w:r>
      <w:r>
        <w:rPr>
          <w:rFonts w:hint="eastAsia"/>
          <w:spacing w:val="-3"/>
          <w:sz w:val="21"/>
          <w:highlight w:val="none"/>
          <w:u w:val="single"/>
          <w:lang w:val="en-US"/>
        </w:rPr>
        <w:t>60</w:t>
      </w:r>
      <w:r>
        <w:rPr>
          <w:rFonts w:hint="eastAsia"/>
          <w:spacing w:val="-3"/>
          <w:sz w:val="21"/>
          <w:highlight w:val="none"/>
        </w:rPr>
        <w:t>天。</w:t>
      </w:r>
    </w:p>
    <w:p w14:paraId="537DA332">
      <w:pPr>
        <w:pStyle w:val="31"/>
        <w:tabs>
          <w:tab w:val="left" w:pos="1270"/>
        </w:tabs>
        <w:spacing w:line="360" w:lineRule="auto"/>
        <w:ind w:left="420" w:firstLine="0"/>
        <w:rPr>
          <w:spacing w:val="-3"/>
          <w:sz w:val="21"/>
          <w:highlight w:val="none"/>
        </w:rPr>
      </w:pPr>
      <w:r>
        <w:rPr>
          <w:rFonts w:hint="eastAsia"/>
          <w:spacing w:val="-3"/>
          <w:sz w:val="21"/>
          <w:highlight w:val="none"/>
          <w:lang w:val="en-US"/>
        </w:rPr>
        <w:t xml:space="preserve">3.3.2 </w:t>
      </w:r>
      <w:r>
        <w:rPr>
          <w:rFonts w:hint="eastAsia"/>
          <w:spacing w:val="-3"/>
          <w:sz w:val="21"/>
          <w:highlight w:val="none"/>
        </w:rPr>
        <w:t>在投标有效期内，投标人撤销投标文件的，应承担招标文件和法律规定的责任。</w:t>
      </w:r>
    </w:p>
    <w:p w14:paraId="63F6D193">
      <w:pPr>
        <w:pStyle w:val="31"/>
        <w:tabs>
          <w:tab w:val="left" w:pos="1270"/>
        </w:tabs>
        <w:spacing w:line="360" w:lineRule="auto"/>
        <w:ind w:left="0" w:right="53" w:rightChars="25" w:firstLine="426" w:firstLineChars="209"/>
        <w:rPr>
          <w:spacing w:val="-3"/>
          <w:sz w:val="21"/>
          <w:highlight w:val="none"/>
        </w:rPr>
      </w:pPr>
      <w:r>
        <w:rPr>
          <w:rFonts w:hint="eastAsia"/>
          <w:spacing w:val="-3"/>
          <w:sz w:val="21"/>
          <w:highlight w:val="none"/>
          <w:lang w:val="en-US"/>
        </w:rPr>
        <w:t xml:space="preserve">3.3.3 </w:t>
      </w:r>
      <w:r>
        <w:rPr>
          <w:rFonts w:hint="eastAsia"/>
          <w:spacing w:val="-3"/>
          <w:sz w:val="21"/>
          <w:highlight w:val="none"/>
        </w:rPr>
        <w:t>出现特殊情况需要延长投标有效期的，采购人以书面形式通知所有投标人延长投标有效期。投标人应予以书面答复，同意延长的，应相应延长其投标保证金的有效期， 但不得要求或被允许修改其投标文件；投标人拒绝延长的，其投标失效。</w:t>
      </w:r>
    </w:p>
    <w:p w14:paraId="53882CDD">
      <w:pPr>
        <w:pStyle w:val="31"/>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3.4 投标保证金</w:t>
      </w:r>
    </w:p>
    <w:p w14:paraId="42703AA2">
      <w:pPr>
        <w:pStyle w:val="31"/>
        <w:tabs>
          <w:tab w:val="left" w:pos="440"/>
        </w:tabs>
        <w:spacing w:line="360" w:lineRule="auto"/>
        <w:ind w:left="0" w:firstLine="448" w:firstLineChars="220"/>
        <w:rPr>
          <w:spacing w:val="-3"/>
          <w:sz w:val="21"/>
          <w:highlight w:val="none"/>
          <w:lang w:val="en-US"/>
        </w:rPr>
      </w:pPr>
      <w:r>
        <w:rPr>
          <w:rFonts w:hint="eastAsia"/>
          <w:spacing w:val="-3"/>
          <w:sz w:val="21"/>
          <w:highlight w:val="none"/>
          <w:lang w:val="en-US"/>
        </w:rPr>
        <w:t>不收取。</w:t>
      </w:r>
    </w:p>
    <w:p w14:paraId="13DEA41E">
      <w:pPr>
        <w:pStyle w:val="31"/>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3.5 资格审查资料</w:t>
      </w:r>
    </w:p>
    <w:p w14:paraId="385738C5">
      <w:pPr>
        <w:spacing w:line="360" w:lineRule="auto"/>
        <w:ind w:right="-136" w:rightChars="-65" w:firstLine="408" w:firstLineChars="200"/>
        <w:rPr>
          <w:rFonts w:ascii="宋体" w:hAnsi="宋体" w:cs="宋体"/>
          <w:spacing w:val="-3"/>
          <w:szCs w:val="21"/>
          <w:highlight w:val="none"/>
        </w:rPr>
      </w:pPr>
      <w:r>
        <w:rPr>
          <w:rFonts w:hint="eastAsia" w:ascii="宋体" w:hAnsi="宋体" w:cs="宋体"/>
          <w:spacing w:val="-3"/>
          <w:szCs w:val="21"/>
          <w:highlight w:val="none"/>
        </w:rPr>
        <w:t>详见投标人须知前附表。</w:t>
      </w:r>
    </w:p>
    <w:p w14:paraId="2EDD53A1">
      <w:pPr>
        <w:pStyle w:val="31"/>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3.6 备选投标方案（不接受）</w:t>
      </w:r>
    </w:p>
    <w:p w14:paraId="16D9952D">
      <w:pPr>
        <w:pStyle w:val="31"/>
        <w:tabs>
          <w:tab w:val="left" w:pos="1270"/>
        </w:tabs>
        <w:spacing w:line="360" w:lineRule="auto"/>
        <w:ind w:left="0" w:firstLine="426" w:firstLineChars="209"/>
        <w:rPr>
          <w:spacing w:val="-3"/>
          <w:sz w:val="21"/>
          <w:highlight w:val="none"/>
        </w:rPr>
      </w:pPr>
      <w:r>
        <w:rPr>
          <w:rFonts w:hint="eastAsia"/>
          <w:spacing w:val="-3"/>
          <w:sz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037664B5">
      <w:pPr>
        <w:pStyle w:val="31"/>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3.7 投标文件的编制</w:t>
      </w:r>
    </w:p>
    <w:p w14:paraId="09AF9C63">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3.7.1 投标文件应按招标文件第六章“投标文件格式”要求进行编写，如有必要，可以增加附页作为投标文件的组成部分，但不修改投标文件格式，如修改招标文件中规定的“投标文件格式”视为不响应形式评审要求。</w:t>
      </w:r>
    </w:p>
    <w:p w14:paraId="743BBF16">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3.7.2 投标文件应当对招标文件有关服务期限、投标有效期、采购内容等实质性内容响应。投标文件在满足招标文件实质性要求的基础上，可以提出比招标文件要求更有利于采购人的承诺。</w:t>
      </w:r>
    </w:p>
    <w:p w14:paraId="104AF744">
      <w:pPr>
        <w:widowControl/>
        <w:spacing w:line="360" w:lineRule="auto"/>
        <w:ind w:firstLine="408" w:firstLineChars="200"/>
        <w:rPr>
          <w:rFonts w:ascii="宋体" w:hAnsi="宋体" w:cs="宋体"/>
          <w:highlight w:val="none"/>
        </w:rPr>
      </w:pPr>
      <w:r>
        <w:rPr>
          <w:rFonts w:hint="eastAsia" w:ascii="宋体" w:hAnsi="宋体" w:cs="宋体"/>
          <w:spacing w:val="-3"/>
          <w:highlight w:val="none"/>
        </w:rPr>
        <w:t>3.7.3 投标文件应尽量避免涂改、行间插字或删除。如果出现上述情况，改动之处应加盖单位章。</w:t>
      </w:r>
    </w:p>
    <w:p w14:paraId="6D6CC27A">
      <w:pPr>
        <w:pStyle w:val="31"/>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4.投标</w:t>
      </w:r>
    </w:p>
    <w:p w14:paraId="70E47940">
      <w:pPr>
        <w:pStyle w:val="13"/>
        <w:numPr>
          <w:ilvl w:val="1"/>
          <w:numId w:val="7"/>
        </w:numPr>
        <w:tabs>
          <w:tab w:val="left" w:pos="440"/>
        </w:tabs>
        <w:spacing w:before="11" w:line="360" w:lineRule="auto"/>
        <w:ind w:hanging="703"/>
        <w:rPr>
          <w:b w:val="0"/>
          <w:bCs w:val="0"/>
          <w:spacing w:val="-3"/>
          <w:kern w:val="2"/>
          <w:sz w:val="21"/>
          <w:highlight w:val="none"/>
          <w:lang w:val="en-US"/>
        </w:rPr>
      </w:pPr>
      <w:r>
        <w:rPr>
          <w:rFonts w:hint="eastAsia"/>
          <w:highlight w:val="none"/>
        </w:rPr>
        <w:t>投标文件的递交</w:t>
      </w:r>
    </w:p>
    <w:p w14:paraId="26108BAB">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4.1.1投标人应在投标人须知前附表规定的投标截止时间前将加密的电子投标文件成功上传提交至《全国公共资源交易平台（河南省.平顶山市）》公共资源交易系统，供应商应充分考虑并预留技术处理和上传数据所需的时间。</w:t>
      </w:r>
    </w:p>
    <w:p w14:paraId="5AB06DD3">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4.1.2投标人递交投标文件的地点：见投标人须知前附表。</w:t>
      </w:r>
    </w:p>
    <w:p w14:paraId="653A96EB">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4.1.3投标人所递交的投标文件不予退还。</w:t>
      </w:r>
    </w:p>
    <w:p w14:paraId="73F51885">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4.1.4逾期上传的投标文件，采购人不予受理。</w:t>
      </w:r>
    </w:p>
    <w:p w14:paraId="03FF357F">
      <w:pPr>
        <w:pStyle w:val="13"/>
        <w:numPr>
          <w:ilvl w:val="1"/>
          <w:numId w:val="7"/>
        </w:numPr>
        <w:tabs>
          <w:tab w:val="left" w:pos="440"/>
        </w:tabs>
        <w:spacing w:before="11"/>
        <w:ind w:hanging="703"/>
        <w:rPr>
          <w:highlight w:val="none"/>
        </w:rPr>
      </w:pPr>
      <w:r>
        <w:rPr>
          <w:rFonts w:hint="eastAsia"/>
          <w:highlight w:val="none"/>
        </w:rPr>
        <w:t>投标文件的修改与撤回</w:t>
      </w:r>
    </w:p>
    <w:p w14:paraId="67EF3C72">
      <w:pPr>
        <w:pStyle w:val="31"/>
        <w:numPr>
          <w:ilvl w:val="2"/>
          <w:numId w:val="7"/>
        </w:numPr>
        <w:tabs>
          <w:tab w:val="left" w:pos="1060"/>
        </w:tabs>
        <w:spacing w:before="154" w:line="355" w:lineRule="auto"/>
        <w:ind w:left="18" w:right="-144" w:firstLine="402"/>
        <w:rPr>
          <w:sz w:val="15"/>
          <w:highlight w:val="none"/>
        </w:rPr>
      </w:pPr>
      <w:r>
        <w:rPr>
          <w:rFonts w:hint="eastAsia"/>
          <w:spacing w:val="1"/>
          <w:sz w:val="21"/>
          <w:highlight w:val="none"/>
        </w:rPr>
        <w:t>在投标人须知前附表</w:t>
      </w:r>
      <w:r>
        <w:rPr>
          <w:rFonts w:hint="eastAsia"/>
          <w:spacing w:val="-3"/>
          <w:sz w:val="21"/>
          <w:highlight w:val="none"/>
        </w:rPr>
        <w:t>规定的投标截止时间前，投标人可以修改或撤回已递交的电子投标文件。</w:t>
      </w:r>
    </w:p>
    <w:p w14:paraId="06C73289">
      <w:pPr>
        <w:pStyle w:val="31"/>
        <w:tabs>
          <w:tab w:val="left" w:pos="1330"/>
        </w:tabs>
        <w:spacing w:before="29" w:line="355" w:lineRule="auto"/>
        <w:ind w:left="9" w:leftChars="-100" w:right="-136" w:rightChars="-65" w:hanging="219" w:hangingChars="78"/>
        <w:jc w:val="both"/>
        <w:rPr>
          <w:b/>
          <w:sz w:val="28"/>
          <w:highlight w:val="none"/>
          <w:lang w:val="en-US"/>
        </w:rPr>
      </w:pPr>
      <w:bookmarkStart w:id="10" w:name="_bookmark7"/>
      <w:bookmarkEnd w:id="10"/>
      <w:r>
        <w:rPr>
          <w:rFonts w:hint="eastAsia"/>
          <w:b/>
          <w:sz w:val="28"/>
          <w:highlight w:val="none"/>
          <w:lang w:val="en-US"/>
        </w:rPr>
        <w:t>5.开标</w:t>
      </w:r>
    </w:p>
    <w:p w14:paraId="5F25D80C">
      <w:pPr>
        <w:pStyle w:val="13"/>
        <w:numPr>
          <w:ilvl w:val="1"/>
          <w:numId w:val="8"/>
        </w:numPr>
        <w:tabs>
          <w:tab w:val="left" w:pos="440"/>
        </w:tabs>
        <w:ind w:hanging="703"/>
        <w:rPr>
          <w:highlight w:val="none"/>
        </w:rPr>
      </w:pPr>
      <w:r>
        <w:rPr>
          <w:rFonts w:hint="eastAsia"/>
          <w:highlight w:val="none"/>
        </w:rPr>
        <w:t>开标时间和地点</w:t>
      </w:r>
    </w:p>
    <w:p w14:paraId="31FB8A14">
      <w:pPr>
        <w:pStyle w:val="32"/>
        <w:spacing w:line="400" w:lineRule="exact"/>
        <w:ind w:right="168" w:rightChars="80" w:firstLine="408" w:firstLineChars="200"/>
        <w:jc w:val="both"/>
        <w:rPr>
          <w:spacing w:val="-3"/>
          <w:sz w:val="21"/>
          <w:szCs w:val="21"/>
          <w:highlight w:val="none"/>
        </w:rPr>
      </w:pPr>
      <w:r>
        <w:rPr>
          <w:rFonts w:hint="eastAsia"/>
          <w:spacing w:val="-3"/>
          <w:sz w:val="21"/>
          <w:szCs w:val="21"/>
          <w:highlight w:val="none"/>
        </w:rPr>
        <w:t>采购人在投标人须知前附表规定的投标截止时间（开标时间）和投标人须知前附表规定的地点公开开标。</w:t>
      </w:r>
    </w:p>
    <w:p w14:paraId="553C626F">
      <w:pPr>
        <w:pStyle w:val="13"/>
        <w:tabs>
          <w:tab w:val="left" w:pos="704"/>
        </w:tabs>
        <w:spacing w:before="131" w:line="360" w:lineRule="auto"/>
        <w:ind w:left="217" w:hanging="217" w:hangingChars="90"/>
        <w:rPr>
          <w:highlight w:val="none"/>
        </w:rPr>
      </w:pPr>
      <w:r>
        <w:rPr>
          <w:rFonts w:hint="eastAsia"/>
          <w:highlight w:val="none"/>
          <w:lang w:val="en-US"/>
        </w:rPr>
        <w:t xml:space="preserve">5.2 </w:t>
      </w:r>
      <w:r>
        <w:rPr>
          <w:rFonts w:hint="eastAsia"/>
          <w:highlight w:val="none"/>
        </w:rPr>
        <w:t>开标程序</w:t>
      </w:r>
    </w:p>
    <w:p w14:paraId="491AAC1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w:t>
      </w:r>
      <w:r>
        <w:rPr>
          <w:rFonts w:hint="eastAsia" w:ascii="宋体" w:hAnsi="宋体" w:cs="宋体"/>
          <w:b/>
          <w:bCs/>
          <w:spacing w:val="-3"/>
          <w:highlight w:val="none"/>
        </w:rPr>
        <w:t>1</w:t>
      </w:r>
      <w:r>
        <w:rPr>
          <w:rFonts w:hint="eastAsia" w:ascii="宋体" w:hAnsi="宋体" w:cs="宋体"/>
          <w:b/>
          <w:bCs/>
          <w:spacing w:val="-3"/>
          <w:highlight w:val="none"/>
          <w:lang w:val="zh-CN"/>
        </w:rPr>
        <w:t>开标时，投标人采用网上远程异地解密时，请用 CA 证书登录平顶山市公共资源交易中心业务系统，进入本项目开标大厅点击解密来完成投标文件的解密工作。每位投标人的解密时间从投标截止时间起60 分钟内完成，超过规定时间解密的投标文件不予接收</w:t>
      </w:r>
      <w:r>
        <w:rPr>
          <w:rFonts w:hint="eastAsia" w:ascii="宋体" w:hAnsi="宋体" w:cs="宋体"/>
          <w:spacing w:val="-3"/>
          <w:highlight w:val="none"/>
        </w:rPr>
        <w:t>。</w:t>
      </w:r>
    </w:p>
    <w:p w14:paraId="2EE2048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5.2.2如出现投标人的电子投标文件无法解密的情况，投标人应及时联系技术人员进行说明。投标文件解密异常，按以下步骤进行处理：</w:t>
      </w:r>
    </w:p>
    <w:p w14:paraId="729860CB">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如果是投标文件自身问题导致投标文件无法解密的，该投标文件将不予接收、解密。</w:t>
      </w:r>
    </w:p>
    <w:p w14:paraId="75B435C4">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如果是电子化交易系统问题造成投标文件无法解密的，将由技术人员进行排查处理。如短时间内问题无法解决的，将由招标人（代理机构）联系监督部门申请暂停开标，待问题解决后继续开标。</w:t>
      </w:r>
    </w:p>
    <w:p w14:paraId="18F2584A">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5.2.3所有投标文件解密完成后，由代理机构操作，对开标结果进行公示。</w:t>
      </w:r>
    </w:p>
    <w:p w14:paraId="149F928D">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5.2.4投标人应保证在开标期间电话、电脑、网络等能够正常使用，投标人因停电、电脑病毒、网络堵塞等原因，未在规定的解密时间内对投标文件进行解密的，其投标文件不予接收。</w:t>
      </w:r>
    </w:p>
    <w:p w14:paraId="5ADE8317">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5.2.5开标结束。</w:t>
      </w:r>
    </w:p>
    <w:p w14:paraId="3D556F6F">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5.2.6采购人或采购代理机构依法对投标人的资格进行审查。</w:t>
      </w:r>
    </w:p>
    <w:p w14:paraId="648391D9">
      <w:pPr>
        <w:pStyle w:val="31"/>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6.评标</w:t>
      </w:r>
    </w:p>
    <w:p w14:paraId="410DAD17">
      <w:pPr>
        <w:pStyle w:val="13"/>
        <w:numPr>
          <w:ilvl w:val="1"/>
          <w:numId w:val="9"/>
        </w:numPr>
        <w:tabs>
          <w:tab w:val="left" w:pos="440"/>
        </w:tabs>
        <w:spacing w:before="66"/>
        <w:ind w:hanging="703"/>
        <w:rPr>
          <w:highlight w:val="none"/>
        </w:rPr>
      </w:pPr>
      <w:r>
        <w:rPr>
          <w:rFonts w:hint="eastAsia"/>
          <w:highlight w:val="none"/>
        </w:rPr>
        <w:t>评标委员会</w:t>
      </w:r>
    </w:p>
    <w:p w14:paraId="6126437F">
      <w:pPr>
        <w:pStyle w:val="31"/>
        <w:tabs>
          <w:tab w:val="left" w:pos="1330"/>
        </w:tabs>
        <w:spacing w:before="163"/>
        <w:ind w:left="279" w:leftChars="133" w:right="-155" w:rightChars="-74" w:firstLine="140" w:firstLineChars="69"/>
        <w:rPr>
          <w:spacing w:val="-3"/>
          <w:sz w:val="21"/>
          <w:highlight w:val="none"/>
          <w:lang w:val="en-US"/>
        </w:rPr>
      </w:pPr>
      <w:r>
        <w:rPr>
          <w:rFonts w:hint="eastAsia"/>
          <w:spacing w:val="-3"/>
          <w:sz w:val="21"/>
          <w:highlight w:val="none"/>
          <w:lang w:val="en-US"/>
        </w:rPr>
        <w:t xml:space="preserve">6.1.1 </w:t>
      </w:r>
      <w:r>
        <w:rPr>
          <w:rFonts w:hint="eastAsia"/>
          <w:spacing w:val="-3"/>
          <w:sz w:val="21"/>
          <w:highlight w:val="none"/>
        </w:rPr>
        <w:t>评标由依法组建的评标委员会负责。评标委员会由采购人代表，以及有关技术、</w:t>
      </w:r>
    </w:p>
    <w:p w14:paraId="1961990C">
      <w:pPr>
        <w:pStyle w:val="31"/>
        <w:tabs>
          <w:tab w:val="left" w:pos="1330"/>
        </w:tabs>
        <w:spacing w:before="163"/>
        <w:ind w:left="0" w:right="-155" w:rightChars="-74" w:firstLine="0"/>
        <w:rPr>
          <w:spacing w:val="-3"/>
          <w:sz w:val="21"/>
          <w:highlight w:val="none"/>
        </w:rPr>
      </w:pPr>
      <w:r>
        <w:rPr>
          <w:rFonts w:hint="eastAsia"/>
          <w:spacing w:val="-3"/>
          <w:sz w:val="21"/>
          <w:highlight w:val="none"/>
        </w:rPr>
        <w:t>经济等方面的专家组成。评标委员会成员人数见投标人须知前附表。</w:t>
      </w:r>
    </w:p>
    <w:p w14:paraId="6D338590">
      <w:pPr>
        <w:pStyle w:val="31"/>
        <w:tabs>
          <w:tab w:val="left" w:pos="1330"/>
        </w:tabs>
        <w:spacing w:before="163"/>
        <w:ind w:left="273" w:leftChars="130" w:firstLine="148" w:firstLineChars="73"/>
        <w:rPr>
          <w:spacing w:val="-3"/>
          <w:sz w:val="21"/>
          <w:highlight w:val="none"/>
        </w:rPr>
      </w:pPr>
      <w:r>
        <w:rPr>
          <w:rFonts w:hint="eastAsia"/>
          <w:spacing w:val="-3"/>
          <w:sz w:val="21"/>
          <w:highlight w:val="none"/>
          <w:lang w:val="en-US"/>
        </w:rPr>
        <w:t xml:space="preserve">6.1.2 </w:t>
      </w:r>
      <w:r>
        <w:rPr>
          <w:rFonts w:hint="eastAsia"/>
          <w:spacing w:val="-3"/>
          <w:sz w:val="21"/>
          <w:highlight w:val="none"/>
        </w:rPr>
        <w:t>评标委员会成员有下列情形之一的，应当回避：</w:t>
      </w:r>
    </w:p>
    <w:p w14:paraId="39055986">
      <w:pPr>
        <w:pStyle w:val="31"/>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）采购人或投标人的主要负责人的近亲属；</w:t>
      </w:r>
    </w:p>
    <w:p w14:paraId="23AB3D52">
      <w:pPr>
        <w:pStyle w:val="31"/>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）项目主管部门或者行政监督部门的人员；</w:t>
      </w:r>
    </w:p>
    <w:p w14:paraId="32264E83">
      <w:pPr>
        <w:pStyle w:val="31"/>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）与投标人有经济利益关系，可能影响对投标公正评审的；</w:t>
      </w:r>
    </w:p>
    <w:p w14:paraId="2ED8BAD6">
      <w:pPr>
        <w:pStyle w:val="31"/>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）曾因在招标、评标以及其他与招标投标有关活动中从事违法行为而受过行政处罚</w:t>
      </w:r>
    </w:p>
    <w:p w14:paraId="3A9CC968">
      <w:pPr>
        <w:pStyle w:val="31"/>
        <w:tabs>
          <w:tab w:val="left" w:pos="1330"/>
        </w:tabs>
        <w:spacing w:before="163"/>
        <w:ind w:left="0" w:firstLine="0"/>
        <w:rPr>
          <w:spacing w:val="-3"/>
          <w:sz w:val="21"/>
          <w:highlight w:val="none"/>
        </w:rPr>
      </w:pPr>
      <w:r>
        <w:rPr>
          <w:rFonts w:hint="eastAsia"/>
          <w:spacing w:val="-3"/>
          <w:sz w:val="21"/>
          <w:highlight w:val="none"/>
        </w:rPr>
        <w:t>或刑事处罚的。</w:t>
      </w:r>
    </w:p>
    <w:p w14:paraId="4D385C47">
      <w:pPr>
        <w:pStyle w:val="13"/>
        <w:numPr>
          <w:ilvl w:val="1"/>
          <w:numId w:val="9"/>
        </w:numPr>
        <w:tabs>
          <w:tab w:val="left" w:pos="440"/>
        </w:tabs>
        <w:spacing w:before="66"/>
        <w:ind w:hanging="703"/>
        <w:rPr>
          <w:highlight w:val="none"/>
        </w:rPr>
      </w:pPr>
      <w:r>
        <w:rPr>
          <w:rFonts w:hint="eastAsia"/>
          <w:highlight w:val="none"/>
        </w:rPr>
        <w:t>评标原则</w:t>
      </w:r>
    </w:p>
    <w:p w14:paraId="7134A5AB">
      <w:pPr>
        <w:pStyle w:val="3"/>
        <w:spacing w:before="155"/>
        <w:ind w:left="698" w:right="-136" w:rightChars="-65"/>
        <w:rPr>
          <w:highlight w:val="none"/>
        </w:rPr>
      </w:pPr>
      <w:r>
        <w:rPr>
          <w:rFonts w:hint="eastAsia"/>
          <w:highlight w:val="none"/>
        </w:rPr>
        <w:t>评标活动遵循公平、公正、科学和择优的原则。</w:t>
      </w:r>
    </w:p>
    <w:p w14:paraId="6305C16B">
      <w:pPr>
        <w:pStyle w:val="13"/>
        <w:numPr>
          <w:ilvl w:val="1"/>
          <w:numId w:val="9"/>
        </w:numPr>
        <w:tabs>
          <w:tab w:val="left" w:pos="440"/>
        </w:tabs>
        <w:spacing w:before="66"/>
        <w:ind w:hanging="703"/>
        <w:rPr>
          <w:highlight w:val="none"/>
        </w:rPr>
      </w:pPr>
      <w:r>
        <w:rPr>
          <w:rFonts w:hint="eastAsia"/>
          <w:highlight w:val="none"/>
        </w:rPr>
        <w:t>评标</w:t>
      </w:r>
    </w:p>
    <w:p w14:paraId="429B8AC2">
      <w:pPr>
        <w:pStyle w:val="13"/>
        <w:tabs>
          <w:tab w:val="left" w:pos="704"/>
        </w:tabs>
        <w:spacing w:before="66" w:line="360" w:lineRule="auto"/>
        <w:ind w:left="18" w:firstLine="621" w:firstLineChars="303"/>
        <w:rPr>
          <w:spacing w:val="-3"/>
          <w:sz w:val="21"/>
          <w:szCs w:val="22"/>
          <w:highlight w:val="none"/>
        </w:rPr>
      </w:pPr>
      <w:r>
        <w:rPr>
          <w:rFonts w:hint="eastAsia"/>
          <w:spacing w:val="-3"/>
          <w:sz w:val="21"/>
          <w:szCs w:val="22"/>
          <w:highlight w:val="none"/>
          <w:lang w:val="en-US"/>
        </w:rPr>
        <w:t xml:space="preserve">6.3.1 </w:t>
      </w:r>
      <w:r>
        <w:rPr>
          <w:rFonts w:hint="eastAsia"/>
          <w:spacing w:val="-3"/>
          <w:sz w:val="21"/>
          <w:szCs w:val="22"/>
          <w:highlight w:val="none"/>
        </w:rPr>
        <w:t>公开招标采购项目开标结束后，根据招标内容和特点按规定组建资格审查小组，其成员由采购代理机构专职人员和采购人代表组成。资格审查小组依据第三章评标办法资格评审标准对投标文件进行资格审查，以确定投标人是否具备投标资格，有一项不符合评审标准的，资格审查小组应当认定其投标无效，合格投标人不足3家的，不得评标。</w:t>
      </w:r>
    </w:p>
    <w:p w14:paraId="7B6D52DA">
      <w:pPr>
        <w:adjustRightInd w:val="0"/>
        <w:spacing w:line="360" w:lineRule="auto"/>
        <w:ind w:left="100" w:right="56" w:firstLine="594" w:firstLineChars="290"/>
        <w:rPr>
          <w:rFonts w:ascii="宋体" w:hAnsi="宋体" w:cs="宋体"/>
          <w:b/>
          <w:bCs/>
          <w:highlight w:val="none"/>
        </w:rPr>
      </w:pPr>
      <w:r>
        <w:rPr>
          <w:rFonts w:hint="eastAsia" w:ascii="宋体" w:hAnsi="宋体" w:cs="宋体"/>
          <w:b/>
          <w:bCs/>
          <w:spacing w:val="-3"/>
          <w:highlight w:val="none"/>
        </w:rPr>
        <w:t>6.3.2 评标委员会按照第三章“评标办法”规定的方法、评审因素、标准和程序对投标文件进行形式，符合性评审。第三章“评标办法”没有规定的方法、评审因素和标准，不作为评标依据。</w:t>
      </w:r>
    </w:p>
    <w:p w14:paraId="7C57A9CF">
      <w:pPr>
        <w:widowControl/>
        <w:spacing w:line="360" w:lineRule="auto"/>
        <w:ind w:firstLine="614" w:firstLineChars="300"/>
        <w:rPr>
          <w:rFonts w:ascii="宋体" w:hAnsi="宋体" w:cs="宋体"/>
          <w:b/>
          <w:bCs/>
          <w:spacing w:val="-3"/>
          <w:highlight w:val="none"/>
        </w:rPr>
      </w:pPr>
      <w:r>
        <w:rPr>
          <w:rFonts w:hint="eastAsia" w:ascii="宋体" w:hAnsi="宋体" w:cs="宋体"/>
          <w:b/>
          <w:bCs/>
          <w:spacing w:val="-3"/>
          <w:highlight w:val="none"/>
        </w:rPr>
        <w:t>6.3.3评标时，评标委员会对电子化投标文件有质疑的，将通过电子化交易系统对供应商发起质疑。质疑回复内容确认后，通过电子化交易系统提交至评标委员会。</w:t>
      </w:r>
    </w:p>
    <w:p w14:paraId="4B8F65A8">
      <w:pPr>
        <w:pStyle w:val="31"/>
        <w:tabs>
          <w:tab w:val="left" w:pos="1330"/>
        </w:tabs>
        <w:spacing w:before="29" w:line="355" w:lineRule="auto"/>
        <w:ind w:left="9" w:leftChars="-100" w:right="-136" w:rightChars="-65" w:hanging="219" w:hangingChars="78"/>
        <w:jc w:val="both"/>
        <w:rPr>
          <w:b/>
          <w:sz w:val="28"/>
          <w:highlight w:val="none"/>
          <w:lang w:val="en-US"/>
        </w:rPr>
      </w:pPr>
      <w:bookmarkStart w:id="11" w:name="_bookmark9"/>
      <w:bookmarkEnd w:id="11"/>
      <w:r>
        <w:rPr>
          <w:rFonts w:hint="eastAsia"/>
          <w:b/>
          <w:sz w:val="28"/>
          <w:highlight w:val="none"/>
          <w:lang w:val="en-US"/>
        </w:rPr>
        <w:t>7.合同授予</w:t>
      </w:r>
    </w:p>
    <w:p w14:paraId="100B5796">
      <w:pPr>
        <w:pStyle w:val="13"/>
        <w:numPr>
          <w:ilvl w:val="1"/>
          <w:numId w:val="10"/>
        </w:numPr>
        <w:tabs>
          <w:tab w:val="left" w:pos="440"/>
        </w:tabs>
        <w:ind w:hanging="703"/>
        <w:rPr>
          <w:highlight w:val="none"/>
        </w:rPr>
      </w:pPr>
      <w:r>
        <w:rPr>
          <w:rFonts w:hint="eastAsia"/>
          <w:highlight w:val="none"/>
        </w:rPr>
        <w:t>定标方式</w:t>
      </w:r>
    </w:p>
    <w:p w14:paraId="03F26D4B">
      <w:pPr>
        <w:pStyle w:val="3"/>
        <w:spacing w:before="154" w:line="357" w:lineRule="auto"/>
        <w:ind w:left="18" w:right="-144" w:firstLine="680"/>
        <w:rPr>
          <w:highlight w:val="none"/>
        </w:rPr>
      </w:pPr>
      <w:r>
        <w:rPr>
          <w:rFonts w:hint="eastAsia"/>
          <w:spacing w:val="-3"/>
          <w:highlight w:val="none"/>
        </w:rPr>
        <w:t>除投标人须知前附表规定评标委员会直接确定中标人外，采购人依据评标委员会推荐的中标候选人确定中标人，评标委员会推荐中标候选人的人数见投标人须知前附表。原则上第一名为中标人，若排名第一的中标候选供应商因不可抗力放弃中标或因自身原因不能履行合同，采购人可以顺延排名第二的中标候选供应商为中标供应商或重新招标。</w:t>
      </w:r>
    </w:p>
    <w:p w14:paraId="6717272D">
      <w:pPr>
        <w:pStyle w:val="14"/>
        <w:numPr>
          <w:ilvl w:val="1"/>
          <w:numId w:val="10"/>
        </w:numPr>
        <w:tabs>
          <w:tab w:val="left" w:pos="440"/>
        </w:tabs>
        <w:spacing w:before="4" w:afterLines="20"/>
        <w:ind w:hanging="703"/>
        <w:rPr>
          <w:b/>
          <w:bCs/>
          <w:highlight w:val="none"/>
        </w:rPr>
      </w:pPr>
      <w:r>
        <w:rPr>
          <w:rFonts w:hint="eastAsia"/>
          <w:b/>
          <w:bCs/>
          <w:highlight w:val="none"/>
        </w:rPr>
        <w:t>中标通知</w:t>
      </w:r>
    </w:p>
    <w:p w14:paraId="4EF0FB84">
      <w:pPr>
        <w:spacing w:line="360" w:lineRule="auto"/>
        <w:ind w:firstLine="592" w:firstLineChars="299"/>
        <w:rPr>
          <w:rFonts w:ascii="宋体" w:hAnsi="宋体" w:cs="宋体"/>
          <w:spacing w:val="-6"/>
          <w:szCs w:val="21"/>
          <w:highlight w:val="none"/>
        </w:rPr>
      </w:pPr>
      <w:r>
        <w:rPr>
          <w:rFonts w:hint="eastAsia" w:ascii="宋体" w:hAnsi="宋体" w:cs="宋体"/>
          <w:spacing w:val="-6"/>
          <w:szCs w:val="21"/>
          <w:highlight w:val="none"/>
        </w:rPr>
        <w:t>在规定的时间内，招标人以书面形式向中标供应商发出中标通知书，同时将中标结果通知未中标的投标人。中标供应商在收到通知书后，应予以书面确认与采购人签订合同；中标通知书将成为合同的组成部分。</w:t>
      </w:r>
    </w:p>
    <w:p w14:paraId="18CDF00C">
      <w:pPr>
        <w:pStyle w:val="13"/>
        <w:numPr>
          <w:ilvl w:val="1"/>
          <w:numId w:val="10"/>
        </w:numPr>
        <w:tabs>
          <w:tab w:val="left" w:pos="440"/>
        </w:tabs>
        <w:spacing w:before="4" w:line="440" w:lineRule="exact"/>
        <w:ind w:hanging="703"/>
        <w:rPr>
          <w:highlight w:val="none"/>
        </w:rPr>
      </w:pPr>
      <w:r>
        <w:rPr>
          <w:rFonts w:hint="eastAsia"/>
          <w:highlight w:val="none"/>
        </w:rPr>
        <w:t>履约保证金（</w:t>
      </w:r>
      <w:r>
        <w:rPr>
          <w:rFonts w:hint="eastAsia"/>
          <w:highlight w:val="none"/>
          <w:lang w:val="en-US"/>
        </w:rPr>
        <w:t>不适用</w:t>
      </w:r>
      <w:r>
        <w:rPr>
          <w:rFonts w:hint="eastAsia"/>
          <w:highlight w:val="none"/>
        </w:rPr>
        <w:t>）</w:t>
      </w:r>
    </w:p>
    <w:p w14:paraId="3B6501F6">
      <w:pPr>
        <w:pStyle w:val="3"/>
        <w:spacing w:line="440" w:lineRule="exact"/>
        <w:ind w:left="15" w:right="-136" w:rightChars="-65" w:firstLine="599" w:firstLineChars="303"/>
        <w:rPr>
          <w:spacing w:val="-3"/>
          <w:szCs w:val="22"/>
          <w:highlight w:val="none"/>
        </w:rPr>
      </w:pPr>
      <w:r>
        <w:rPr>
          <w:rFonts w:hint="eastAsia"/>
          <w:spacing w:val="-6"/>
          <w:kern w:val="2"/>
          <w:highlight w:val="none"/>
          <w:lang w:val="en-US"/>
        </w:rPr>
        <w:t>不收取。</w:t>
      </w:r>
    </w:p>
    <w:p w14:paraId="1466F1D8">
      <w:pPr>
        <w:pStyle w:val="13"/>
        <w:numPr>
          <w:ilvl w:val="1"/>
          <w:numId w:val="10"/>
        </w:numPr>
        <w:tabs>
          <w:tab w:val="left" w:pos="440"/>
        </w:tabs>
        <w:spacing w:before="4"/>
        <w:ind w:hanging="703"/>
        <w:rPr>
          <w:highlight w:val="none"/>
        </w:rPr>
      </w:pPr>
      <w:r>
        <w:rPr>
          <w:rFonts w:hint="eastAsia"/>
          <w:highlight w:val="none"/>
        </w:rPr>
        <w:t>签订合同</w:t>
      </w:r>
    </w:p>
    <w:p w14:paraId="323B260D">
      <w:pPr>
        <w:pStyle w:val="31"/>
        <w:numPr>
          <w:ilvl w:val="2"/>
          <w:numId w:val="10"/>
        </w:numPr>
        <w:tabs>
          <w:tab w:val="left" w:pos="1330"/>
        </w:tabs>
        <w:spacing w:before="152" w:line="357" w:lineRule="auto"/>
        <w:ind w:left="18" w:right="-155" w:rightChars="-74" w:firstLine="680"/>
        <w:rPr>
          <w:sz w:val="21"/>
          <w:highlight w:val="none"/>
        </w:rPr>
      </w:pPr>
      <w:r>
        <w:rPr>
          <w:rFonts w:hint="eastAsia"/>
          <w:spacing w:val="-3"/>
          <w:sz w:val="21"/>
          <w:highlight w:val="none"/>
        </w:rPr>
        <w:t>采购人和中标人应当自中标通知书发出之日起</w:t>
      </w:r>
      <w:r>
        <w:rPr>
          <w:rFonts w:hint="eastAsia"/>
          <w:sz w:val="21"/>
          <w:highlight w:val="none"/>
          <w:lang w:val="en-US"/>
        </w:rPr>
        <w:t>1</w:t>
      </w:r>
      <w:r>
        <w:rPr>
          <w:rFonts w:hint="eastAsia"/>
          <w:spacing w:val="-3"/>
          <w:sz w:val="21"/>
          <w:highlight w:val="none"/>
        </w:rPr>
        <w:t>天内，根据招标文件和中标人的投标文</w:t>
      </w:r>
      <w:r>
        <w:rPr>
          <w:rFonts w:hint="eastAsia"/>
          <w:spacing w:val="-7"/>
          <w:sz w:val="21"/>
          <w:highlight w:val="none"/>
        </w:rPr>
        <w:t>件订立书面合同。中标人无正当理由拒签合同的，采购人取消其中标资格</w:t>
      </w:r>
      <w:r>
        <w:rPr>
          <w:rFonts w:hint="eastAsia"/>
          <w:spacing w:val="-7"/>
          <w:sz w:val="21"/>
          <w:highlight w:val="none"/>
          <w:lang w:val="en-US"/>
        </w:rPr>
        <w:t>;</w:t>
      </w:r>
    </w:p>
    <w:p w14:paraId="13E58760">
      <w:pPr>
        <w:pStyle w:val="31"/>
        <w:tabs>
          <w:tab w:val="left" w:pos="1436"/>
        </w:tabs>
        <w:spacing w:before="28" w:line="355" w:lineRule="auto"/>
        <w:ind w:left="0" w:right="-155" w:rightChars="-74" w:firstLine="612" w:firstLineChars="300"/>
        <w:rPr>
          <w:sz w:val="21"/>
          <w:highlight w:val="none"/>
        </w:rPr>
      </w:pPr>
      <w:r>
        <w:rPr>
          <w:rFonts w:hint="eastAsia"/>
          <w:spacing w:val="-3"/>
          <w:sz w:val="21"/>
          <w:highlight w:val="none"/>
          <w:lang w:val="en-US"/>
        </w:rPr>
        <w:t xml:space="preserve">7.4.2 </w:t>
      </w:r>
      <w:r>
        <w:rPr>
          <w:rFonts w:hint="eastAsia"/>
          <w:spacing w:val="-3"/>
          <w:sz w:val="21"/>
          <w:highlight w:val="none"/>
        </w:rPr>
        <w:t>发出中标通知书后，采购人无正当理由拒签合同的， 给中标人造成损失的，也应当赔偿损失。</w:t>
      </w:r>
    </w:p>
    <w:p w14:paraId="7A8F51B6">
      <w:pPr>
        <w:pStyle w:val="31"/>
        <w:tabs>
          <w:tab w:val="left" w:pos="1330"/>
        </w:tabs>
        <w:spacing w:before="29" w:line="355" w:lineRule="auto"/>
        <w:ind w:left="9" w:leftChars="-100" w:right="-136" w:rightChars="-65" w:hanging="219" w:hangingChars="78"/>
        <w:jc w:val="both"/>
        <w:rPr>
          <w:b/>
          <w:sz w:val="28"/>
          <w:highlight w:val="none"/>
          <w:lang w:val="en-US"/>
        </w:rPr>
      </w:pPr>
      <w:bookmarkStart w:id="12" w:name="_Toc3894"/>
      <w:bookmarkStart w:id="13" w:name="_Toc247639880"/>
      <w:bookmarkStart w:id="14" w:name="_Toc291089224"/>
      <w:r>
        <w:rPr>
          <w:rFonts w:hint="eastAsia"/>
          <w:b/>
          <w:sz w:val="28"/>
          <w:highlight w:val="none"/>
          <w:lang w:val="en-US"/>
        </w:rPr>
        <w:t>8. 重新招标</w:t>
      </w:r>
      <w:bookmarkEnd w:id="12"/>
      <w:bookmarkEnd w:id="13"/>
      <w:bookmarkEnd w:id="14"/>
    </w:p>
    <w:p w14:paraId="3A8053EC">
      <w:pPr>
        <w:pStyle w:val="13"/>
        <w:tabs>
          <w:tab w:val="left" w:pos="704"/>
        </w:tabs>
        <w:spacing w:before="10" w:afterLines="50"/>
        <w:ind w:left="0" w:firstLine="0"/>
        <w:rPr>
          <w:highlight w:val="none"/>
        </w:rPr>
      </w:pPr>
      <w:bookmarkStart w:id="15" w:name="_Toc291089225"/>
      <w:bookmarkStart w:id="16" w:name="_Toc247639881"/>
      <w:bookmarkStart w:id="17" w:name="_Toc48"/>
      <w:r>
        <w:rPr>
          <w:rFonts w:hint="eastAsia"/>
          <w:highlight w:val="none"/>
          <w:lang w:val="en-US"/>
        </w:rPr>
        <w:t>8.1 重新招标</w:t>
      </w:r>
      <w:bookmarkEnd w:id="15"/>
      <w:bookmarkEnd w:id="16"/>
      <w:bookmarkEnd w:id="17"/>
    </w:p>
    <w:p w14:paraId="408C7027">
      <w:pPr>
        <w:adjustRightInd w:val="0"/>
        <w:spacing w:line="360" w:lineRule="auto"/>
        <w:ind w:firstLine="408" w:firstLineChars="200"/>
        <w:rPr>
          <w:rFonts w:ascii="宋体" w:hAnsi="宋体" w:cs="宋体"/>
          <w:spacing w:val="-3"/>
          <w:highlight w:val="none"/>
        </w:rPr>
      </w:pPr>
      <w:r>
        <w:rPr>
          <w:rFonts w:hint="eastAsia" w:ascii="宋体" w:hAnsi="宋体" w:cs="宋体"/>
          <w:spacing w:val="-3"/>
          <w:highlight w:val="none"/>
        </w:rPr>
        <w:t>有下列情形之一的，采购人将重新招标：</w:t>
      </w:r>
    </w:p>
    <w:p w14:paraId="256053DC">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（1）投标截止时间止，供应商少于3个的；</w:t>
      </w:r>
    </w:p>
    <w:p w14:paraId="3425759D">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（2）经评标委员会评审后有效供应商少于3个的。</w:t>
      </w:r>
    </w:p>
    <w:p w14:paraId="2A7F507B">
      <w:pPr>
        <w:pStyle w:val="31"/>
        <w:tabs>
          <w:tab w:val="left" w:pos="1330"/>
        </w:tabs>
        <w:spacing w:before="29" w:line="355" w:lineRule="auto"/>
        <w:ind w:left="9" w:leftChars="-100" w:right="-136" w:rightChars="-65" w:hanging="219" w:hangingChars="78"/>
        <w:jc w:val="both"/>
        <w:rPr>
          <w:b/>
          <w:sz w:val="28"/>
          <w:highlight w:val="none"/>
          <w:lang w:val="en-US"/>
        </w:rPr>
      </w:pPr>
      <w:bookmarkStart w:id="18" w:name="_bookmark10"/>
      <w:bookmarkEnd w:id="18"/>
      <w:r>
        <w:rPr>
          <w:rFonts w:hint="eastAsia"/>
          <w:b/>
          <w:sz w:val="28"/>
          <w:highlight w:val="none"/>
          <w:lang w:val="en-US"/>
        </w:rPr>
        <w:t>9.纪律和监督</w:t>
      </w:r>
    </w:p>
    <w:p w14:paraId="17FB9D8F">
      <w:pPr>
        <w:pStyle w:val="31"/>
        <w:tabs>
          <w:tab w:val="left" w:pos="1330"/>
        </w:tabs>
        <w:spacing w:before="29" w:line="355" w:lineRule="auto"/>
        <w:ind w:left="267" w:leftChars="-46" w:right="-136" w:rightChars="-65" w:hanging="364" w:hangingChars="151"/>
        <w:jc w:val="both"/>
        <w:rPr>
          <w:b/>
          <w:bCs/>
          <w:sz w:val="24"/>
          <w:highlight w:val="none"/>
        </w:rPr>
      </w:pPr>
      <w:r>
        <w:rPr>
          <w:rFonts w:hint="eastAsia"/>
          <w:b/>
          <w:bCs/>
          <w:sz w:val="24"/>
          <w:highlight w:val="none"/>
          <w:lang w:val="en-US"/>
        </w:rPr>
        <w:t xml:space="preserve">9.1 </w:t>
      </w:r>
      <w:r>
        <w:rPr>
          <w:rFonts w:hint="eastAsia"/>
          <w:b/>
          <w:bCs/>
          <w:sz w:val="24"/>
          <w:highlight w:val="none"/>
        </w:rPr>
        <w:t>对采购人的纪律要求</w:t>
      </w:r>
    </w:p>
    <w:p w14:paraId="453BC6D5">
      <w:pPr>
        <w:pStyle w:val="31"/>
        <w:tabs>
          <w:tab w:val="left" w:pos="1330"/>
        </w:tabs>
        <w:spacing w:before="29" w:line="355" w:lineRule="auto"/>
        <w:ind w:left="8" w:leftChars="4" w:right="-136" w:rightChars="-65" w:firstLine="452" w:firstLineChars="222"/>
        <w:jc w:val="both"/>
        <w:rPr>
          <w:spacing w:val="-3"/>
          <w:sz w:val="21"/>
          <w:szCs w:val="21"/>
          <w:highlight w:val="none"/>
        </w:rPr>
      </w:pPr>
      <w:r>
        <w:rPr>
          <w:rFonts w:hint="eastAsia"/>
          <w:spacing w:val="-3"/>
          <w:sz w:val="21"/>
          <w:szCs w:val="21"/>
          <w:highlight w:val="none"/>
        </w:rPr>
        <w:t>采购人不得泄漏招标投标活动中应当保密的情况和资料，不得与投标人串通损害国家利益、社会公共利益或者他人合法权益。</w:t>
      </w:r>
    </w:p>
    <w:p w14:paraId="4D37B88D">
      <w:pPr>
        <w:pStyle w:val="13"/>
        <w:tabs>
          <w:tab w:val="left" w:pos="704"/>
        </w:tabs>
        <w:spacing w:before="4"/>
        <w:ind w:left="0" w:right="-155" w:rightChars="-74" w:firstLine="0"/>
        <w:rPr>
          <w:highlight w:val="none"/>
        </w:rPr>
      </w:pPr>
      <w:r>
        <w:rPr>
          <w:rFonts w:hint="eastAsia"/>
          <w:highlight w:val="none"/>
          <w:lang w:val="en-US"/>
        </w:rPr>
        <w:t xml:space="preserve">9.2 </w:t>
      </w:r>
      <w:r>
        <w:rPr>
          <w:rFonts w:hint="eastAsia"/>
          <w:highlight w:val="none"/>
        </w:rPr>
        <w:t>对投标人的纪律要求</w:t>
      </w:r>
    </w:p>
    <w:p w14:paraId="26D75856">
      <w:pPr>
        <w:pStyle w:val="3"/>
        <w:spacing w:before="152" w:line="357" w:lineRule="auto"/>
        <w:ind w:left="18" w:right="-155" w:rightChars="-74" w:firstLine="680"/>
        <w:jc w:val="both"/>
        <w:rPr>
          <w:highlight w:val="none"/>
        </w:rPr>
      </w:pPr>
      <w:r>
        <w:rPr>
          <w:rFonts w:hint="eastAsia"/>
          <w:spacing w:val="-3"/>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70349F7">
      <w:pPr>
        <w:pStyle w:val="13"/>
        <w:tabs>
          <w:tab w:val="left" w:pos="704"/>
        </w:tabs>
        <w:spacing w:before="4"/>
        <w:ind w:left="0" w:right="-155" w:rightChars="-74" w:firstLine="0"/>
        <w:rPr>
          <w:highlight w:val="none"/>
          <w:lang w:val="en-US"/>
        </w:rPr>
      </w:pPr>
      <w:r>
        <w:rPr>
          <w:rFonts w:hint="eastAsia"/>
          <w:highlight w:val="none"/>
          <w:lang w:val="en-US"/>
        </w:rPr>
        <w:t>9.3 对评标委员会成员的纪律要求</w:t>
      </w:r>
    </w:p>
    <w:p w14:paraId="62A51384">
      <w:pPr>
        <w:pStyle w:val="3"/>
        <w:spacing w:before="152" w:line="360" w:lineRule="auto"/>
        <w:ind w:firstLine="392" w:firstLineChars="200"/>
        <w:rPr>
          <w:spacing w:val="-7"/>
          <w:szCs w:val="22"/>
          <w:highlight w:val="none"/>
        </w:rPr>
      </w:pPr>
      <w:r>
        <w:rPr>
          <w:rFonts w:hint="eastAsia"/>
          <w:spacing w:val="-7"/>
          <w:szCs w:val="22"/>
          <w:highlight w:val="none"/>
        </w:rPr>
        <w:t>评标委员会成员不得收受他人的财物或者其他好处，不得向他人透漏对投标文件的评审和比较、中标候选人的推荐情况以及评标有关的其他情况。在评标活动中，评标委员会成员不得擅离职守， 影响评标程序正常进行，不得使用第三章</w:t>
      </w:r>
      <w:r>
        <w:rPr>
          <w:rFonts w:hint="eastAsia"/>
          <w:spacing w:val="-7"/>
          <w:szCs w:val="22"/>
          <w:highlight w:val="none"/>
          <w:lang w:val="en-US"/>
        </w:rPr>
        <w:t xml:space="preserve"> “</w:t>
      </w:r>
      <w:r>
        <w:rPr>
          <w:rFonts w:hint="eastAsia"/>
          <w:spacing w:val="-7"/>
          <w:szCs w:val="22"/>
          <w:highlight w:val="none"/>
        </w:rPr>
        <w:t>评标办法</w:t>
      </w:r>
      <w:r>
        <w:rPr>
          <w:rFonts w:hint="eastAsia"/>
          <w:spacing w:val="-7"/>
          <w:szCs w:val="22"/>
          <w:highlight w:val="none"/>
          <w:lang w:val="en-US"/>
        </w:rPr>
        <w:t>”</w:t>
      </w:r>
      <w:r>
        <w:rPr>
          <w:rFonts w:hint="eastAsia"/>
          <w:spacing w:val="-7"/>
          <w:szCs w:val="22"/>
          <w:highlight w:val="none"/>
        </w:rPr>
        <w:t>没有规定的评审因素和标准进行评标。</w:t>
      </w:r>
    </w:p>
    <w:p w14:paraId="0F0625CA">
      <w:pPr>
        <w:pStyle w:val="13"/>
        <w:tabs>
          <w:tab w:val="left" w:pos="704"/>
        </w:tabs>
        <w:spacing w:line="360" w:lineRule="auto"/>
        <w:ind w:left="0" w:firstLine="0"/>
        <w:rPr>
          <w:highlight w:val="none"/>
        </w:rPr>
      </w:pPr>
      <w:r>
        <w:rPr>
          <w:rFonts w:hint="eastAsia"/>
          <w:highlight w:val="none"/>
          <w:lang w:val="en-US"/>
        </w:rPr>
        <w:t xml:space="preserve">9.4 </w:t>
      </w:r>
      <w:r>
        <w:rPr>
          <w:rFonts w:hint="eastAsia"/>
          <w:highlight w:val="none"/>
        </w:rPr>
        <w:t>对与评标活动有关的工作人员的纪律要求</w:t>
      </w:r>
    </w:p>
    <w:p w14:paraId="45EC46A6">
      <w:pPr>
        <w:pStyle w:val="3"/>
        <w:spacing w:before="47" w:line="360" w:lineRule="auto"/>
        <w:ind w:firstLine="420" w:firstLineChars="200"/>
        <w:rPr>
          <w:highlight w:val="none"/>
        </w:rPr>
      </w:pPr>
      <w:r>
        <w:rPr>
          <w:rFonts w:hint="eastAsia"/>
          <w:highlight w:val="none"/>
        </w:rPr>
        <w:t>与评标活动有关的工作人员不得收受他人的财物或者其他好处，不得向他人透漏对投标 文件的评审和比较、中标候选人的推荐情况以及评标有关的其他情况。在评标活动中，与评标活动有关的工作人员不得擅离职守，影响评标程序正常进行。</w:t>
      </w:r>
    </w:p>
    <w:p w14:paraId="48231104">
      <w:pPr>
        <w:pStyle w:val="3"/>
        <w:spacing w:before="47" w:line="360" w:lineRule="auto"/>
        <w:rPr>
          <w:b/>
          <w:bCs/>
          <w:sz w:val="24"/>
          <w:szCs w:val="24"/>
          <w:highlight w:val="none"/>
          <w:lang w:val="en-US"/>
        </w:rPr>
      </w:pPr>
      <w:r>
        <w:rPr>
          <w:rFonts w:hint="eastAsia"/>
          <w:b/>
          <w:bCs/>
          <w:sz w:val="24"/>
          <w:szCs w:val="24"/>
          <w:highlight w:val="none"/>
          <w:lang w:val="en-US"/>
        </w:rPr>
        <w:t>9.5 投诉</w:t>
      </w:r>
    </w:p>
    <w:p w14:paraId="234E04DC">
      <w:pPr>
        <w:pStyle w:val="13"/>
        <w:tabs>
          <w:tab w:val="left" w:pos="704"/>
        </w:tabs>
        <w:spacing w:before="4" w:line="360" w:lineRule="auto"/>
        <w:ind w:left="0" w:firstLine="420" w:firstLineChars="200"/>
        <w:rPr>
          <w:b w:val="0"/>
          <w:bCs w:val="0"/>
          <w:sz w:val="21"/>
          <w:szCs w:val="21"/>
          <w:highlight w:val="none"/>
          <w:lang w:val="en-US"/>
        </w:rPr>
      </w:pPr>
      <w:r>
        <w:rPr>
          <w:rFonts w:hint="eastAsia"/>
          <w:b w:val="0"/>
          <w:bCs w:val="0"/>
          <w:sz w:val="21"/>
          <w:szCs w:val="21"/>
          <w:highlight w:val="none"/>
          <w:lang w:val="en-US"/>
        </w:rPr>
        <w:t>投标人和其他利害关系人认为本次招标活动违反法律、法规和规章规定的，有权向有关行政监督部门投诉。</w:t>
      </w:r>
    </w:p>
    <w:p w14:paraId="043A2114">
      <w:pPr>
        <w:pStyle w:val="31"/>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10 .需要补充的其他内容</w:t>
      </w:r>
    </w:p>
    <w:p w14:paraId="04BAF242">
      <w:pPr>
        <w:pStyle w:val="3"/>
        <w:spacing w:before="47" w:line="360" w:lineRule="auto"/>
        <w:ind w:firstLine="210" w:firstLineChars="100"/>
        <w:rPr>
          <w:highlight w:val="none"/>
          <w:lang w:val="en-US"/>
        </w:rPr>
      </w:pPr>
      <w:r>
        <w:rPr>
          <w:rFonts w:hint="eastAsia"/>
          <w:highlight w:val="none"/>
          <w:lang w:val="en-US"/>
        </w:rPr>
        <w:t>详见投标人须知前附表</w:t>
      </w:r>
    </w:p>
    <w:p w14:paraId="47EE368E">
      <w:pPr>
        <w:rPr>
          <w:rFonts w:ascii="宋体" w:hAnsi="宋体" w:cs="宋体"/>
          <w:highlight w:val="none"/>
        </w:rPr>
      </w:pPr>
      <w:r>
        <w:rPr>
          <w:rFonts w:hint="eastAsia" w:ascii="宋体" w:hAnsi="宋体" w:cs="宋体"/>
          <w:highlight w:val="none"/>
        </w:rPr>
        <w:br w:type="page"/>
      </w:r>
    </w:p>
    <w:p w14:paraId="3BD0FD13">
      <w:pPr>
        <w:pStyle w:val="10"/>
        <w:numPr>
          <w:ilvl w:val="0"/>
          <w:numId w:val="3"/>
        </w:numPr>
        <w:tabs>
          <w:tab w:val="left" w:pos="1284"/>
        </w:tabs>
        <w:spacing w:before="54"/>
        <w:rPr>
          <w:highlight w:val="none"/>
        </w:rPr>
      </w:pPr>
      <w:bookmarkStart w:id="19" w:name="_bookmark11"/>
      <w:bookmarkEnd w:id="19"/>
      <w:bookmarkStart w:id="20" w:name="_Toc9793"/>
      <w:bookmarkStart w:id="21" w:name="_Toc31356"/>
      <w:bookmarkStart w:id="22" w:name="_Toc11551"/>
      <w:bookmarkStart w:id="23" w:name="_Toc25813"/>
      <w:r>
        <w:rPr>
          <w:rFonts w:hint="eastAsia"/>
          <w:highlight w:val="none"/>
        </w:rPr>
        <w:t>评标办法</w:t>
      </w:r>
      <w:bookmarkEnd w:id="20"/>
      <w:bookmarkEnd w:id="21"/>
      <w:bookmarkEnd w:id="22"/>
      <w:bookmarkEnd w:id="23"/>
    </w:p>
    <w:p w14:paraId="12A98DEC">
      <w:pPr>
        <w:ind w:right="16"/>
        <w:rPr>
          <w:rFonts w:ascii="宋体" w:hAnsi="宋体" w:cs="宋体"/>
          <w:highlight w:val="none"/>
        </w:rPr>
      </w:pPr>
      <w:r>
        <w:rPr>
          <w:rFonts w:hint="eastAsia" w:ascii="宋体" w:hAnsi="宋体" w:cs="宋体"/>
          <w:b/>
          <w:sz w:val="28"/>
          <w:highlight w:val="none"/>
        </w:rPr>
        <w:t>评标办法前附表</w:t>
      </w:r>
    </w:p>
    <w:tbl>
      <w:tblPr>
        <w:tblStyle w:val="24"/>
        <w:tblW w:w="9139" w:type="dxa"/>
        <w:jc w:val="center"/>
        <w:tblLayout w:type="fixed"/>
        <w:tblCellMar>
          <w:top w:w="0" w:type="dxa"/>
          <w:left w:w="108" w:type="dxa"/>
          <w:bottom w:w="0" w:type="dxa"/>
          <w:right w:w="108" w:type="dxa"/>
        </w:tblCellMar>
      </w:tblPr>
      <w:tblGrid>
        <w:gridCol w:w="967"/>
        <w:gridCol w:w="1319"/>
        <w:gridCol w:w="2059"/>
        <w:gridCol w:w="4794"/>
      </w:tblGrid>
      <w:tr w14:paraId="4C884B7D">
        <w:tblPrEx>
          <w:tblCellMar>
            <w:top w:w="0" w:type="dxa"/>
            <w:left w:w="108" w:type="dxa"/>
            <w:bottom w:w="0" w:type="dxa"/>
            <w:right w:w="108" w:type="dxa"/>
          </w:tblCellMar>
        </w:tblPrEx>
        <w:trPr>
          <w:trHeight w:val="469" w:hRule="atLeast"/>
          <w:jc w:val="center"/>
        </w:trPr>
        <w:tc>
          <w:tcPr>
            <w:tcW w:w="2286" w:type="dxa"/>
            <w:gridSpan w:val="2"/>
            <w:tcBorders>
              <w:top w:val="single" w:color="auto" w:sz="4" w:space="0"/>
              <w:left w:val="single" w:color="auto" w:sz="4" w:space="0"/>
              <w:bottom w:val="single" w:color="auto" w:sz="4" w:space="0"/>
              <w:right w:val="single" w:color="auto" w:sz="4" w:space="0"/>
            </w:tcBorders>
            <w:vAlign w:val="center"/>
          </w:tcPr>
          <w:p w14:paraId="760E1E6B">
            <w:pPr>
              <w:adjustRightInd w:val="0"/>
              <w:snapToGrid w:val="0"/>
              <w:spacing w:line="320" w:lineRule="exact"/>
              <w:jc w:val="center"/>
              <w:textAlignment w:val="baseline"/>
              <w:rPr>
                <w:rFonts w:ascii="宋体" w:hAnsi="宋体" w:cs="宋体"/>
                <w:b/>
                <w:spacing w:val="20"/>
                <w:sz w:val="24"/>
                <w:szCs w:val="24"/>
                <w:highlight w:val="none"/>
              </w:rPr>
            </w:pPr>
            <w:bookmarkStart w:id="24" w:name="_Toc19420"/>
            <w:bookmarkStart w:id="25" w:name="_Toc4306"/>
            <w:r>
              <w:rPr>
                <w:rFonts w:hint="eastAsia" w:ascii="宋体" w:hAnsi="宋体" w:cs="宋体"/>
                <w:b/>
                <w:spacing w:val="20"/>
                <w:sz w:val="24"/>
                <w:szCs w:val="24"/>
                <w:highlight w:val="none"/>
              </w:rPr>
              <w:t>条款号</w:t>
            </w:r>
          </w:p>
        </w:tc>
        <w:tc>
          <w:tcPr>
            <w:tcW w:w="2059" w:type="dxa"/>
            <w:tcBorders>
              <w:top w:val="single" w:color="auto" w:sz="4" w:space="0"/>
              <w:left w:val="single" w:color="auto" w:sz="4" w:space="0"/>
              <w:bottom w:val="single" w:color="auto" w:sz="4" w:space="0"/>
              <w:right w:val="single" w:color="auto" w:sz="4" w:space="0"/>
            </w:tcBorders>
            <w:vAlign w:val="center"/>
          </w:tcPr>
          <w:p w14:paraId="4ACAC6BB">
            <w:pPr>
              <w:adjustRightInd w:val="0"/>
              <w:snapToGrid w:val="0"/>
              <w:spacing w:line="320" w:lineRule="exact"/>
              <w:jc w:val="center"/>
              <w:textAlignment w:val="baseline"/>
              <w:rPr>
                <w:rFonts w:ascii="宋体" w:hAnsi="宋体" w:cs="宋体"/>
                <w:b/>
                <w:spacing w:val="20"/>
                <w:sz w:val="24"/>
                <w:szCs w:val="24"/>
                <w:highlight w:val="none"/>
              </w:rPr>
            </w:pPr>
            <w:r>
              <w:rPr>
                <w:rFonts w:hint="eastAsia" w:ascii="宋体" w:hAnsi="宋体" w:cs="宋体"/>
                <w:b/>
                <w:spacing w:val="20"/>
                <w:sz w:val="24"/>
                <w:szCs w:val="24"/>
                <w:highlight w:val="none"/>
              </w:rPr>
              <w:t>评审因素</w:t>
            </w:r>
          </w:p>
        </w:tc>
        <w:tc>
          <w:tcPr>
            <w:tcW w:w="4794" w:type="dxa"/>
            <w:tcBorders>
              <w:top w:val="single" w:color="auto" w:sz="4" w:space="0"/>
              <w:left w:val="single" w:color="auto" w:sz="4" w:space="0"/>
              <w:bottom w:val="single" w:color="auto" w:sz="4" w:space="0"/>
              <w:right w:val="single" w:color="auto" w:sz="4" w:space="0"/>
            </w:tcBorders>
            <w:vAlign w:val="center"/>
          </w:tcPr>
          <w:p w14:paraId="641EC82E">
            <w:pPr>
              <w:adjustRightInd w:val="0"/>
              <w:snapToGrid w:val="0"/>
              <w:spacing w:line="320" w:lineRule="exact"/>
              <w:jc w:val="center"/>
              <w:textAlignment w:val="baseline"/>
              <w:rPr>
                <w:rFonts w:ascii="宋体" w:hAnsi="宋体" w:cs="宋体"/>
                <w:b/>
                <w:spacing w:val="20"/>
                <w:sz w:val="24"/>
                <w:szCs w:val="24"/>
                <w:highlight w:val="none"/>
              </w:rPr>
            </w:pPr>
            <w:r>
              <w:rPr>
                <w:rFonts w:hint="eastAsia" w:ascii="宋体" w:hAnsi="宋体" w:cs="宋体"/>
                <w:b/>
                <w:spacing w:val="20"/>
                <w:sz w:val="24"/>
                <w:szCs w:val="24"/>
                <w:highlight w:val="none"/>
              </w:rPr>
              <w:t>评审标准</w:t>
            </w:r>
          </w:p>
        </w:tc>
      </w:tr>
      <w:tr w14:paraId="64218B0D">
        <w:tblPrEx>
          <w:tblCellMar>
            <w:top w:w="0" w:type="dxa"/>
            <w:left w:w="108" w:type="dxa"/>
            <w:bottom w:w="0" w:type="dxa"/>
            <w:right w:w="108" w:type="dxa"/>
          </w:tblCellMar>
        </w:tblPrEx>
        <w:trPr>
          <w:trHeight w:val="551" w:hRule="atLeast"/>
          <w:jc w:val="center"/>
        </w:trPr>
        <w:tc>
          <w:tcPr>
            <w:tcW w:w="967" w:type="dxa"/>
            <w:vMerge w:val="restart"/>
            <w:tcBorders>
              <w:top w:val="single" w:color="auto" w:sz="4" w:space="0"/>
              <w:left w:val="single" w:color="auto" w:sz="4" w:space="0"/>
              <w:right w:val="single" w:color="auto" w:sz="4" w:space="0"/>
            </w:tcBorders>
            <w:vAlign w:val="center"/>
          </w:tcPr>
          <w:p w14:paraId="6394433A">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2.1.1</w:t>
            </w:r>
          </w:p>
        </w:tc>
        <w:tc>
          <w:tcPr>
            <w:tcW w:w="1319" w:type="dxa"/>
            <w:vMerge w:val="restart"/>
            <w:tcBorders>
              <w:top w:val="single" w:color="auto" w:sz="4" w:space="0"/>
              <w:left w:val="single" w:color="auto" w:sz="4" w:space="0"/>
              <w:right w:val="single" w:color="auto" w:sz="4" w:space="0"/>
            </w:tcBorders>
            <w:vAlign w:val="center"/>
          </w:tcPr>
          <w:p w14:paraId="566A0E94">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形式评</w:t>
            </w:r>
          </w:p>
          <w:p w14:paraId="7DDBCCCB">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审标准</w:t>
            </w:r>
          </w:p>
        </w:tc>
        <w:tc>
          <w:tcPr>
            <w:tcW w:w="2059" w:type="dxa"/>
            <w:tcBorders>
              <w:top w:val="single" w:color="auto" w:sz="4" w:space="0"/>
              <w:left w:val="single" w:color="auto" w:sz="4" w:space="0"/>
              <w:bottom w:val="single" w:color="auto" w:sz="4" w:space="0"/>
              <w:right w:val="single" w:color="auto" w:sz="4" w:space="0"/>
            </w:tcBorders>
            <w:vAlign w:val="center"/>
          </w:tcPr>
          <w:p w14:paraId="0A7AEE69">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投标人名称</w:t>
            </w:r>
          </w:p>
        </w:tc>
        <w:tc>
          <w:tcPr>
            <w:tcW w:w="4794" w:type="dxa"/>
            <w:tcBorders>
              <w:top w:val="single" w:color="auto" w:sz="4" w:space="0"/>
              <w:left w:val="single" w:color="auto" w:sz="4" w:space="0"/>
              <w:bottom w:val="single" w:color="auto" w:sz="4" w:space="0"/>
              <w:right w:val="single" w:color="auto" w:sz="4" w:space="0"/>
            </w:tcBorders>
            <w:vAlign w:val="center"/>
          </w:tcPr>
          <w:p w14:paraId="75C21E42">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与营业执照、税务登记证、组织机构代码证</w:t>
            </w:r>
            <w:r>
              <w:rPr>
                <w:rFonts w:hint="eastAsia" w:ascii="宋体" w:hAnsi="宋体" w:cs="宋体"/>
                <w:sz w:val="24"/>
                <w:szCs w:val="24"/>
                <w:highlight w:val="none"/>
              </w:rPr>
              <w:t>或</w:t>
            </w:r>
            <w:r>
              <w:rPr>
                <w:rFonts w:hint="eastAsia" w:ascii="宋体" w:hAnsi="宋体" w:cs="宋体"/>
                <w:spacing w:val="20"/>
                <w:sz w:val="24"/>
                <w:szCs w:val="24"/>
                <w:highlight w:val="none"/>
              </w:rPr>
              <w:t>三证合一的营业执照一致</w:t>
            </w:r>
          </w:p>
        </w:tc>
      </w:tr>
      <w:tr w14:paraId="140E2B4A">
        <w:tblPrEx>
          <w:tblCellMar>
            <w:top w:w="0" w:type="dxa"/>
            <w:left w:w="108" w:type="dxa"/>
            <w:bottom w:w="0" w:type="dxa"/>
            <w:right w:w="108" w:type="dxa"/>
          </w:tblCellMar>
        </w:tblPrEx>
        <w:trPr>
          <w:trHeight w:val="586" w:hRule="exact"/>
          <w:jc w:val="center"/>
        </w:trPr>
        <w:tc>
          <w:tcPr>
            <w:tcW w:w="967" w:type="dxa"/>
            <w:vMerge w:val="continue"/>
            <w:tcBorders>
              <w:left w:val="single" w:color="auto" w:sz="4" w:space="0"/>
              <w:right w:val="single" w:color="auto" w:sz="4" w:space="0"/>
            </w:tcBorders>
          </w:tcPr>
          <w:p w14:paraId="49E05AFA">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left w:val="single" w:color="auto" w:sz="4" w:space="0"/>
              <w:right w:val="single" w:color="auto" w:sz="4" w:space="0"/>
            </w:tcBorders>
          </w:tcPr>
          <w:p w14:paraId="5330C374">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6A1215E8">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投标函电子签章</w:t>
            </w:r>
          </w:p>
        </w:tc>
        <w:tc>
          <w:tcPr>
            <w:tcW w:w="4794" w:type="dxa"/>
            <w:tcBorders>
              <w:top w:val="single" w:color="auto" w:sz="4" w:space="0"/>
              <w:left w:val="single" w:color="auto" w:sz="4" w:space="0"/>
              <w:bottom w:val="single" w:color="auto" w:sz="4" w:space="0"/>
              <w:right w:val="single" w:color="auto" w:sz="4" w:space="0"/>
            </w:tcBorders>
            <w:vAlign w:val="center"/>
          </w:tcPr>
          <w:p w14:paraId="17207554">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按照招标文件要求具有电子签章</w:t>
            </w:r>
          </w:p>
        </w:tc>
      </w:tr>
      <w:tr w14:paraId="6C855638">
        <w:tblPrEx>
          <w:tblCellMar>
            <w:top w:w="0" w:type="dxa"/>
            <w:left w:w="108" w:type="dxa"/>
            <w:bottom w:w="0" w:type="dxa"/>
            <w:right w:w="108" w:type="dxa"/>
          </w:tblCellMar>
        </w:tblPrEx>
        <w:trPr>
          <w:trHeight w:val="596" w:hRule="exact"/>
          <w:jc w:val="center"/>
        </w:trPr>
        <w:tc>
          <w:tcPr>
            <w:tcW w:w="967" w:type="dxa"/>
            <w:vMerge w:val="continue"/>
            <w:tcBorders>
              <w:left w:val="single" w:color="auto" w:sz="4" w:space="0"/>
              <w:right w:val="single" w:color="auto" w:sz="4" w:space="0"/>
            </w:tcBorders>
          </w:tcPr>
          <w:p w14:paraId="09E76F7F">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left w:val="single" w:color="auto" w:sz="4" w:space="0"/>
              <w:right w:val="single" w:color="auto" w:sz="4" w:space="0"/>
            </w:tcBorders>
          </w:tcPr>
          <w:p w14:paraId="53852E74">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55EF6D41">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投标文件格式</w:t>
            </w:r>
          </w:p>
        </w:tc>
        <w:tc>
          <w:tcPr>
            <w:tcW w:w="4794" w:type="dxa"/>
            <w:tcBorders>
              <w:top w:val="single" w:color="auto" w:sz="4" w:space="0"/>
              <w:left w:val="single" w:color="auto" w:sz="4" w:space="0"/>
              <w:bottom w:val="single" w:color="auto" w:sz="4" w:space="0"/>
              <w:right w:val="single" w:color="auto" w:sz="4" w:space="0"/>
            </w:tcBorders>
            <w:vAlign w:val="center"/>
          </w:tcPr>
          <w:p w14:paraId="2528B0DE">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符合“招标文件格式”的要求</w:t>
            </w:r>
          </w:p>
        </w:tc>
      </w:tr>
      <w:tr w14:paraId="35D0A8D4">
        <w:tblPrEx>
          <w:tblCellMar>
            <w:top w:w="0" w:type="dxa"/>
            <w:left w:w="108" w:type="dxa"/>
            <w:bottom w:w="0" w:type="dxa"/>
            <w:right w:w="108" w:type="dxa"/>
          </w:tblCellMar>
        </w:tblPrEx>
        <w:trPr>
          <w:trHeight w:val="545" w:hRule="exact"/>
          <w:jc w:val="center"/>
        </w:trPr>
        <w:tc>
          <w:tcPr>
            <w:tcW w:w="967" w:type="dxa"/>
            <w:vMerge w:val="continue"/>
            <w:tcBorders>
              <w:left w:val="single" w:color="auto" w:sz="4" w:space="0"/>
              <w:right w:val="single" w:color="auto" w:sz="4" w:space="0"/>
            </w:tcBorders>
          </w:tcPr>
          <w:p w14:paraId="52CFC889">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left w:val="single" w:color="auto" w:sz="4" w:space="0"/>
              <w:right w:val="single" w:color="auto" w:sz="4" w:space="0"/>
            </w:tcBorders>
          </w:tcPr>
          <w:p w14:paraId="19E073D5">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1B718B7D">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报价唯一</w:t>
            </w:r>
          </w:p>
        </w:tc>
        <w:tc>
          <w:tcPr>
            <w:tcW w:w="4794" w:type="dxa"/>
            <w:tcBorders>
              <w:top w:val="single" w:color="auto" w:sz="4" w:space="0"/>
              <w:left w:val="single" w:color="auto" w:sz="4" w:space="0"/>
              <w:bottom w:val="single" w:color="auto" w:sz="4" w:space="0"/>
              <w:right w:val="single" w:color="auto" w:sz="4" w:space="0"/>
            </w:tcBorders>
            <w:vAlign w:val="center"/>
          </w:tcPr>
          <w:p w14:paraId="467C8985">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符合“报价唯一”要求</w:t>
            </w:r>
          </w:p>
        </w:tc>
      </w:tr>
      <w:tr w14:paraId="69FDEA59">
        <w:tblPrEx>
          <w:tblCellMar>
            <w:top w:w="0" w:type="dxa"/>
            <w:left w:w="108" w:type="dxa"/>
            <w:bottom w:w="0" w:type="dxa"/>
            <w:right w:w="108" w:type="dxa"/>
          </w:tblCellMar>
        </w:tblPrEx>
        <w:trPr>
          <w:trHeight w:val="545" w:hRule="exact"/>
          <w:jc w:val="center"/>
        </w:trPr>
        <w:tc>
          <w:tcPr>
            <w:tcW w:w="967" w:type="dxa"/>
            <w:vMerge w:val="continue"/>
            <w:tcBorders>
              <w:left w:val="single" w:color="auto" w:sz="4" w:space="0"/>
              <w:bottom w:val="single" w:color="auto" w:sz="4" w:space="0"/>
              <w:right w:val="single" w:color="auto" w:sz="4" w:space="0"/>
            </w:tcBorders>
          </w:tcPr>
          <w:p w14:paraId="1FEBCC60">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left w:val="single" w:color="auto" w:sz="4" w:space="0"/>
              <w:bottom w:val="single" w:color="auto" w:sz="4" w:space="0"/>
              <w:right w:val="single" w:color="auto" w:sz="4" w:space="0"/>
            </w:tcBorders>
          </w:tcPr>
          <w:p w14:paraId="0BBE56B6">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3EB7225B">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其他</w:t>
            </w:r>
          </w:p>
        </w:tc>
        <w:tc>
          <w:tcPr>
            <w:tcW w:w="4794" w:type="dxa"/>
            <w:tcBorders>
              <w:top w:val="single" w:color="auto" w:sz="4" w:space="0"/>
              <w:left w:val="single" w:color="auto" w:sz="4" w:space="0"/>
              <w:bottom w:val="single" w:color="auto" w:sz="4" w:space="0"/>
              <w:right w:val="single" w:color="auto" w:sz="4" w:space="0"/>
            </w:tcBorders>
            <w:vAlign w:val="center"/>
          </w:tcPr>
          <w:p w14:paraId="64CB284B">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符合“招标文件”其他规定要求</w:t>
            </w:r>
          </w:p>
        </w:tc>
      </w:tr>
      <w:tr w14:paraId="272131FE">
        <w:tblPrEx>
          <w:tblCellMar>
            <w:top w:w="0" w:type="dxa"/>
            <w:left w:w="108" w:type="dxa"/>
            <w:bottom w:w="0" w:type="dxa"/>
            <w:right w:w="108" w:type="dxa"/>
          </w:tblCellMar>
        </w:tblPrEx>
        <w:trPr>
          <w:trHeight w:val="785" w:hRule="exact"/>
          <w:jc w:val="center"/>
        </w:trPr>
        <w:tc>
          <w:tcPr>
            <w:tcW w:w="967" w:type="dxa"/>
            <w:vMerge w:val="restart"/>
            <w:tcBorders>
              <w:top w:val="single" w:color="auto" w:sz="4" w:space="0"/>
              <w:left w:val="single" w:color="auto" w:sz="4" w:space="0"/>
              <w:right w:val="single" w:color="auto" w:sz="4" w:space="0"/>
            </w:tcBorders>
            <w:vAlign w:val="center"/>
          </w:tcPr>
          <w:p w14:paraId="1C0063D3">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2.1.2</w:t>
            </w:r>
          </w:p>
        </w:tc>
        <w:tc>
          <w:tcPr>
            <w:tcW w:w="1319" w:type="dxa"/>
            <w:vMerge w:val="restart"/>
            <w:tcBorders>
              <w:top w:val="single" w:color="auto" w:sz="4" w:space="0"/>
              <w:left w:val="single" w:color="auto" w:sz="4" w:space="0"/>
              <w:right w:val="single" w:color="auto" w:sz="4" w:space="0"/>
            </w:tcBorders>
            <w:vAlign w:val="center"/>
          </w:tcPr>
          <w:p w14:paraId="43DCBCE5">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资格评</w:t>
            </w:r>
          </w:p>
          <w:p w14:paraId="07025924">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审标准</w:t>
            </w:r>
          </w:p>
          <w:p w14:paraId="48A1200D">
            <w:pPr>
              <w:adjustRightInd w:val="0"/>
              <w:snapToGrid w:val="0"/>
              <w:spacing w:line="320" w:lineRule="exact"/>
              <w:jc w:val="center"/>
              <w:textAlignment w:val="baseline"/>
              <w:rPr>
                <w:rFonts w:ascii="宋体" w:hAnsi="宋体" w:cs="宋体"/>
                <w:spacing w:val="20"/>
                <w:sz w:val="24"/>
                <w:szCs w:val="24"/>
                <w:highlight w:val="none"/>
              </w:rPr>
            </w:pPr>
          </w:p>
        </w:tc>
        <w:tc>
          <w:tcPr>
            <w:tcW w:w="2059" w:type="dxa"/>
            <w:tcBorders>
              <w:top w:val="single" w:color="auto" w:sz="4" w:space="0"/>
              <w:left w:val="single" w:color="auto" w:sz="4" w:space="0"/>
              <w:right w:val="single" w:color="auto" w:sz="4" w:space="0"/>
            </w:tcBorders>
            <w:vAlign w:val="center"/>
          </w:tcPr>
          <w:p w14:paraId="1302202E">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z w:val="24"/>
                <w:szCs w:val="24"/>
                <w:highlight w:val="none"/>
              </w:rPr>
              <w:t>投标人资格要求</w:t>
            </w:r>
          </w:p>
        </w:tc>
        <w:tc>
          <w:tcPr>
            <w:tcW w:w="4794" w:type="dxa"/>
            <w:tcBorders>
              <w:top w:val="single" w:color="auto" w:sz="4" w:space="0"/>
              <w:left w:val="single" w:color="auto" w:sz="4" w:space="0"/>
              <w:bottom w:val="single" w:color="auto" w:sz="4" w:space="0"/>
              <w:right w:val="single" w:color="auto" w:sz="4" w:space="0"/>
            </w:tcBorders>
            <w:vAlign w:val="center"/>
          </w:tcPr>
          <w:p w14:paraId="54CAA444">
            <w:pPr>
              <w:pStyle w:val="18"/>
              <w:ind w:left="0" w:leftChars="0" w:firstLine="0" w:firstLineChars="0"/>
              <w:rPr>
                <w:sz w:val="24"/>
                <w:szCs w:val="24"/>
                <w:highlight w:val="none"/>
              </w:rPr>
            </w:pPr>
            <w:r>
              <w:rPr>
                <w:rFonts w:hint="eastAsia"/>
                <w:sz w:val="24"/>
                <w:szCs w:val="24"/>
                <w:highlight w:val="none"/>
              </w:rPr>
              <w:t>符合第二章“投标人须知”</w:t>
            </w:r>
            <w:r>
              <w:rPr>
                <w:rStyle w:val="33"/>
                <w:rFonts w:hint="eastAsia"/>
                <w:sz w:val="24"/>
                <w:szCs w:val="24"/>
                <w:highlight w:val="none"/>
                <w:lang w:val="zh-CN"/>
              </w:rPr>
              <w:t>投标人资格要求</w:t>
            </w:r>
          </w:p>
        </w:tc>
      </w:tr>
      <w:tr w14:paraId="145640A9">
        <w:tblPrEx>
          <w:tblCellMar>
            <w:top w:w="0" w:type="dxa"/>
            <w:left w:w="108" w:type="dxa"/>
            <w:bottom w:w="0" w:type="dxa"/>
            <w:right w:w="108" w:type="dxa"/>
          </w:tblCellMar>
        </w:tblPrEx>
        <w:trPr>
          <w:trHeight w:val="519" w:hRule="atLeast"/>
          <w:jc w:val="center"/>
        </w:trPr>
        <w:tc>
          <w:tcPr>
            <w:tcW w:w="967" w:type="dxa"/>
            <w:vMerge w:val="restart"/>
            <w:tcBorders>
              <w:top w:val="single" w:color="auto" w:sz="4" w:space="0"/>
              <w:left w:val="single" w:color="auto" w:sz="4" w:space="0"/>
              <w:right w:val="single" w:color="auto" w:sz="4" w:space="0"/>
            </w:tcBorders>
            <w:vAlign w:val="center"/>
          </w:tcPr>
          <w:p w14:paraId="5694D992">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2.1.3</w:t>
            </w:r>
          </w:p>
        </w:tc>
        <w:tc>
          <w:tcPr>
            <w:tcW w:w="1319" w:type="dxa"/>
            <w:vMerge w:val="restart"/>
            <w:tcBorders>
              <w:top w:val="single" w:color="auto" w:sz="4" w:space="0"/>
              <w:left w:val="single" w:color="auto" w:sz="4" w:space="0"/>
              <w:right w:val="single" w:color="auto" w:sz="4" w:space="0"/>
            </w:tcBorders>
            <w:vAlign w:val="center"/>
          </w:tcPr>
          <w:p w14:paraId="3F65C400">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响应性</w:t>
            </w:r>
          </w:p>
          <w:p w14:paraId="736CA9B8">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评审标准</w:t>
            </w:r>
          </w:p>
        </w:tc>
        <w:tc>
          <w:tcPr>
            <w:tcW w:w="2059" w:type="dxa"/>
            <w:tcBorders>
              <w:top w:val="single" w:color="auto" w:sz="4" w:space="0"/>
              <w:left w:val="single" w:color="auto" w:sz="4" w:space="0"/>
              <w:right w:val="single" w:color="auto" w:sz="4" w:space="0"/>
            </w:tcBorders>
            <w:vAlign w:val="center"/>
          </w:tcPr>
          <w:p w14:paraId="6D5CDEE8">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z w:val="24"/>
                <w:szCs w:val="24"/>
                <w:highlight w:val="none"/>
              </w:rPr>
              <w:t>投标报价</w:t>
            </w:r>
          </w:p>
        </w:tc>
        <w:tc>
          <w:tcPr>
            <w:tcW w:w="4794" w:type="dxa"/>
            <w:tcBorders>
              <w:top w:val="single" w:color="auto" w:sz="4" w:space="0"/>
              <w:left w:val="single" w:color="auto" w:sz="4" w:space="0"/>
              <w:right w:val="single" w:color="auto" w:sz="4" w:space="0"/>
            </w:tcBorders>
            <w:vAlign w:val="center"/>
          </w:tcPr>
          <w:p w14:paraId="10B903C4">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r w14:paraId="131E8BC0">
        <w:tblPrEx>
          <w:tblCellMar>
            <w:top w:w="0" w:type="dxa"/>
            <w:left w:w="108" w:type="dxa"/>
            <w:bottom w:w="0" w:type="dxa"/>
            <w:right w:w="108" w:type="dxa"/>
          </w:tblCellMar>
        </w:tblPrEx>
        <w:trPr>
          <w:trHeight w:val="543" w:hRule="atLeast"/>
          <w:jc w:val="center"/>
        </w:trPr>
        <w:tc>
          <w:tcPr>
            <w:tcW w:w="967" w:type="dxa"/>
            <w:vMerge w:val="continue"/>
            <w:tcBorders>
              <w:left w:val="single" w:color="auto" w:sz="4" w:space="0"/>
              <w:bottom w:val="single" w:color="auto" w:sz="4" w:space="0"/>
              <w:right w:val="single" w:color="auto" w:sz="4" w:space="0"/>
            </w:tcBorders>
            <w:vAlign w:val="center"/>
          </w:tcPr>
          <w:p w14:paraId="5944D2C2">
            <w:pPr>
              <w:adjustRightInd w:val="0"/>
              <w:snapToGrid w:val="0"/>
              <w:spacing w:line="320" w:lineRule="exact"/>
              <w:jc w:val="center"/>
              <w:textAlignment w:val="baseline"/>
              <w:rPr>
                <w:rFonts w:ascii="宋体" w:hAnsi="宋体" w:cs="宋体"/>
                <w:spacing w:val="20"/>
                <w:sz w:val="24"/>
                <w:szCs w:val="24"/>
                <w:highlight w:val="none"/>
              </w:rPr>
            </w:pPr>
          </w:p>
        </w:tc>
        <w:tc>
          <w:tcPr>
            <w:tcW w:w="1319" w:type="dxa"/>
            <w:vMerge w:val="continue"/>
            <w:tcBorders>
              <w:left w:val="single" w:color="auto" w:sz="4" w:space="0"/>
              <w:bottom w:val="single" w:color="auto" w:sz="4" w:space="0"/>
              <w:right w:val="single" w:color="auto" w:sz="4" w:space="0"/>
            </w:tcBorders>
            <w:vAlign w:val="center"/>
          </w:tcPr>
          <w:p w14:paraId="3E9C1EE2">
            <w:pPr>
              <w:adjustRightInd w:val="0"/>
              <w:snapToGrid w:val="0"/>
              <w:spacing w:line="320" w:lineRule="exact"/>
              <w:jc w:val="center"/>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25C28C91">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投标内容</w:t>
            </w:r>
          </w:p>
        </w:tc>
        <w:tc>
          <w:tcPr>
            <w:tcW w:w="4794" w:type="dxa"/>
            <w:tcBorders>
              <w:top w:val="single" w:color="auto" w:sz="4" w:space="0"/>
              <w:left w:val="single" w:color="auto" w:sz="4" w:space="0"/>
              <w:bottom w:val="single" w:color="auto" w:sz="4" w:space="0"/>
              <w:right w:val="single" w:color="auto" w:sz="4" w:space="0"/>
            </w:tcBorders>
            <w:vAlign w:val="center"/>
          </w:tcPr>
          <w:p w14:paraId="6DABDDE3">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r w14:paraId="6F9168B6">
        <w:tblPrEx>
          <w:tblCellMar>
            <w:top w:w="0" w:type="dxa"/>
            <w:left w:w="108" w:type="dxa"/>
            <w:bottom w:w="0" w:type="dxa"/>
            <w:right w:w="108" w:type="dxa"/>
          </w:tblCellMar>
        </w:tblPrEx>
        <w:trPr>
          <w:trHeight w:val="521" w:hRule="atLeast"/>
          <w:jc w:val="center"/>
        </w:trPr>
        <w:tc>
          <w:tcPr>
            <w:tcW w:w="967" w:type="dxa"/>
            <w:vMerge w:val="continue"/>
            <w:tcBorders>
              <w:left w:val="single" w:color="auto" w:sz="4" w:space="0"/>
              <w:bottom w:val="single" w:color="auto" w:sz="4" w:space="0"/>
              <w:right w:val="single" w:color="auto" w:sz="4" w:space="0"/>
            </w:tcBorders>
            <w:vAlign w:val="center"/>
          </w:tcPr>
          <w:p w14:paraId="170DB389">
            <w:pPr>
              <w:adjustRightInd w:val="0"/>
              <w:snapToGrid w:val="0"/>
              <w:spacing w:line="320" w:lineRule="exact"/>
              <w:jc w:val="center"/>
              <w:textAlignment w:val="baseline"/>
              <w:rPr>
                <w:rFonts w:ascii="宋体" w:hAnsi="宋体" w:cs="宋体"/>
                <w:spacing w:val="20"/>
                <w:sz w:val="24"/>
                <w:szCs w:val="24"/>
                <w:highlight w:val="none"/>
              </w:rPr>
            </w:pPr>
          </w:p>
        </w:tc>
        <w:tc>
          <w:tcPr>
            <w:tcW w:w="1319" w:type="dxa"/>
            <w:vMerge w:val="continue"/>
            <w:tcBorders>
              <w:left w:val="single" w:color="auto" w:sz="4" w:space="0"/>
              <w:bottom w:val="single" w:color="auto" w:sz="4" w:space="0"/>
              <w:right w:val="single" w:color="auto" w:sz="4" w:space="0"/>
            </w:tcBorders>
            <w:vAlign w:val="center"/>
          </w:tcPr>
          <w:p w14:paraId="4A5091A4">
            <w:pPr>
              <w:adjustRightInd w:val="0"/>
              <w:snapToGrid w:val="0"/>
              <w:spacing w:line="320" w:lineRule="exact"/>
              <w:jc w:val="center"/>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45688B32">
            <w:pPr>
              <w:adjustRightInd w:val="0"/>
              <w:snapToGrid w:val="0"/>
              <w:spacing w:line="320" w:lineRule="exact"/>
              <w:jc w:val="center"/>
              <w:textAlignment w:val="baseline"/>
              <w:rPr>
                <w:rFonts w:ascii="宋体" w:hAnsi="宋体" w:cs="宋体"/>
                <w:spacing w:val="20"/>
                <w:sz w:val="24"/>
                <w:szCs w:val="24"/>
                <w:highlight w:val="none"/>
              </w:rPr>
            </w:pPr>
            <w:r>
              <w:rPr>
                <w:rStyle w:val="33"/>
                <w:rFonts w:hint="eastAsia" w:ascii="宋体" w:hAnsi="宋体" w:cs="宋体"/>
                <w:sz w:val="24"/>
                <w:szCs w:val="24"/>
                <w:highlight w:val="none"/>
                <w:lang w:val="en-US"/>
              </w:rPr>
              <w:t>工</w:t>
            </w:r>
            <w:r>
              <w:rPr>
                <w:rStyle w:val="33"/>
                <w:rFonts w:hint="eastAsia" w:ascii="宋体" w:hAnsi="宋体" w:cs="宋体"/>
                <w:sz w:val="24"/>
                <w:szCs w:val="24"/>
                <w:highlight w:val="none"/>
              </w:rPr>
              <w:t>期</w:t>
            </w:r>
          </w:p>
        </w:tc>
        <w:tc>
          <w:tcPr>
            <w:tcW w:w="4794" w:type="dxa"/>
            <w:tcBorders>
              <w:top w:val="single" w:color="auto" w:sz="4" w:space="0"/>
              <w:left w:val="single" w:color="auto" w:sz="4" w:space="0"/>
              <w:bottom w:val="single" w:color="auto" w:sz="4" w:space="0"/>
              <w:right w:val="single" w:color="auto" w:sz="4" w:space="0"/>
            </w:tcBorders>
            <w:vAlign w:val="center"/>
          </w:tcPr>
          <w:p w14:paraId="129F5864">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r w14:paraId="2FB2B875">
        <w:tblPrEx>
          <w:tblCellMar>
            <w:top w:w="0" w:type="dxa"/>
            <w:left w:w="108" w:type="dxa"/>
            <w:bottom w:w="0" w:type="dxa"/>
            <w:right w:w="108" w:type="dxa"/>
          </w:tblCellMar>
        </w:tblPrEx>
        <w:trPr>
          <w:trHeight w:val="539" w:hRule="exact"/>
          <w:jc w:val="center"/>
        </w:trPr>
        <w:tc>
          <w:tcPr>
            <w:tcW w:w="967" w:type="dxa"/>
            <w:vMerge w:val="continue"/>
            <w:tcBorders>
              <w:top w:val="single" w:color="auto" w:sz="4" w:space="0"/>
              <w:left w:val="single" w:color="auto" w:sz="4" w:space="0"/>
              <w:right w:val="single" w:color="auto" w:sz="4" w:space="0"/>
            </w:tcBorders>
          </w:tcPr>
          <w:p w14:paraId="0DFCBD47">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top w:val="single" w:color="auto" w:sz="4" w:space="0"/>
              <w:left w:val="single" w:color="auto" w:sz="4" w:space="0"/>
              <w:right w:val="single" w:color="auto" w:sz="4" w:space="0"/>
            </w:tcBorders>
          </w:tcPr>
          <w:p w14:paraId="4550E15B">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4D3E3DD5">
            <w:pPr>
              <w:adjustRightInd w:val="0"/>
              <w:snapToGrid w:val="0"/>
              <w:spacing w:line="320" w:lineRule="exact"/>
              <w:jc w:val="center"/>
              <w:textAlignment w:val="baseline"/>
              <w:rPr>
                <w:rFonts w:ascii="宋体" w:hAnsi="宋体" w:cs="宋体"/>
                <w:spacing w:val="20"/>
                <w:sz w:val="24"/>
                <w:szCs w:val="24"/>
                <w:highlight w:val="none"/>
              </w:rPr>
            </w:pPr>
            <w:r>
              <w:rPr>
                <w:rStyle w:val="33"/>
                <w:rFonts w:hint="eastAsia" w:ascii="宋体" w:hAnsi="宋体" w:cs="宋体"/>
                <w:sz w:val="24"/>
                <w:szCs w:val="24"/>
                <w:highlight w:val="none"/>
              </w:rPr>
              <w:t>质量要求</w:t>
            </w:r>
          </w:p>
        </w:tc>
        <w:tc>
          <w:tcPr>
            <w:tcW w:w="4794" w:type="dxa"/>
            <w:tcBorders>
              <w:top w:val="single" w:color="auto" w:sz="4" w:space="0"/>
              <w:left w:val="single" w:color="auto" w:sz="4" w:space="0"/>
              <w:bottom w:val="single" w:color="auto" w:sz="4" w:space="0"/>
              <w:right w:val="single" w:color="auto" w:sz="4" w:space="0"/>
            </w:tcBorders>
            <w:vAlign w:val="center"/>
          </w:tcPr>
          <w:p w14:paraId="2502CEA8">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r w14:paraId="395488D8">
        <w:tblPrEx>
          <w:tblCellMar>
            <w:top w:w="0" w:type="dxa"/>
            <w:left w:w="108" w:type="dxa"/>
            <w:bottom w:w="0" w:type="dxa"/>
            <w:right w:w="108" w:type="dxa"/>
          </w:tblCellMar>
        </w:tblPrEx>
        <w:trPr>
          <w:trHeight w:val="539" w:hRule="exact"/>
          <w:jc w:val="center"/>
        </w:trPr>
        <w:tc>
          <w:tcPr>
            <w:tcW w:w="967" w:type="dxa"/>
            <w:vMerge w:val="continue"/>
            <w:tcBorders>
              <w:top w:val="single" w:color="auto" w:sz="4" w:space="0"/>
              <w:left w:val="single" w:color="auto" w:sz="4" w:space="0"/>
              <w:right w:val="single" w:color="auto" w:sz="4" w:space="0"/>
            </w:tcBorders>
          </w:tcPr>
          <w:p w14:paraId="3427C6AB">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top w:val="single" w:color="auto" w:sz="4" w:space="0"/>
              <w:left w:val="single" w:color="auto" w:sz="4" w:space="0"/>
              <w:right w:val="single" w:color="auto" w:sz="4" w:space="0"/>
            </w:tcBorders>
          </w:tcPr>
          <w:p w14:paraId="345A9C7C">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06ABA08E">
            <w:pPr>
              <w:adjustRightInd w:val="0"/>
              <w:snapToGrid w:val="0"/>
              <w:spacing w:line="320" w:lineRule="exact"/>
              <w:jc w:val="center"/>
              <w:textAlignment w:val="baseline"/>
              <w:rPr>
                <w:rStyle w:val="33"/>
                <w:rFonts w:ascii="宋体" w:hAnsi="宋体" w:cs="宋体"/>
                <w:sz w:val="24"/>
                <w:szCs w:val="24"/>
                <w:highlight w:val="none"/>
              </w:rPr>
            </w:pPr>
            <w:r>
              <w:rPr>
                <w:rStyle w:val="33"/>
                <w:rFonts w:hint="eastAsia" w:ascii="宋体" w:hAnsi="宋体" w:cs="宋体"/>
                <w:sz w:val="24"/>
                <w:szCs w:val="24"/>
                <w:highlight w:val="none"/>
              </w:rPr>
              <w:t>质保期</w:t>
            </w:r>
          </w:p>
        </w:tc>
        <w:tc>
          <w:tcPr>
            <w:tcW w:w="4794" w:type="dxa"/>
            <w:tcBorders>
              <w:top w:val="single" w:color="auto" w:sz="4" w:space="0"/>
              <w:left w:val="single" w:color="auto" w:sz="4" w:space="0"/>
              <w:bottom w:val="single" w:color="auto" w:sz="4" w:space="0"/>
              <w:right w:val="single" w:color="auto" w:sz="4" w:space="0"/>
            </w:tcBorders>
            <w:vAlign w:val="center"/>
          </w:tcPr>
          <w:p w14:paraId="1C8597C0">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r w14:paraId="2DBB6DEA">
        <w:tblPrEx>
          <w:tblCellMar>
            <w:top w:w="0" w:type="dxa"/>
            <w:left w:w="108" w:type="dxa"/>
            <w:bottom w:w="0" w:type="dxa"/>
            <w:right w:w="108" w:type="dxa"/>
          </w:tblCellMar>
        </w:tblPrEx>
        <w:trPr>
          <w:trHeight w:val="528" w:hRule="exact"/>
          <w:jc w:val="center"/>
        </w:trPr>
        <w:tc>
          <w:tcPr>
            <w:tcW w:w="967" w:type="dxa"/>
            <w:vMerge w:val="continue"/>
            <w:tcBorders>
              <w:left w:val="single" w:color="auto" w:sz="4" w:space="0"/>
              <w:bottom w:val="single" w:color="auto" w:sz="4" w:space="0"/>
              <w:right w:val="single" w:color="auto" w:sz="4" w:space="0"/>
            </w:tcBorders>
          </w:tcPr>
          <w:p w14:paraId="55E58503">
            <w:pPr>
              <w:adjustRightInd w:val="0"/>
              <w:snapToGrid w:val="0"/>
              <w:spacing w:line="320" w:lineRule="exact"/>
              <w:textAlignment w:val="baseline"/>
              <w:rPr>
                <w:rFonts w:ascii="宋体" w:hAnsi="宋体" w:cs="宋体"/>
                <w:spacing w:val="20"/>
                <w:sz w:val="24"/>
                <w:szCs w:val="24"/>
                <w:highlight w:val="none"/>
              </w:rPr>
            </w:pPr>
          </w:p>
        </w:tc>
        <w:tc>
          <w:tcPr>
            <w:tcW w:w="1319" w:type="dxa"/>
            <w:vMerge w:val="continue"/>
            <w:tcBorders>
              <w:left w:val="single" w:color="auto" w:sz="4" w:space="0"/>
              <w:bottom w:val="single" w:color="auto" w:sz="4" w:space="0"/>
              <w:right w:val="single" w:color="auto" w:sz="4" w:space="0"/>
            </w:tcBorders>
          </w:tcPr>
          <w:p w14:paraId="20081942">
            <w:pPr>
              <w:adjustRightInd w:val="0"/>
              <w:snapToGrid w:val="0"/>
              <w:spacing w:line="320" w:lineRule="exact"/>
              <w:textAlignment w:val="baseline"/>
              <w:rPr>
                <w:rFonts w:ascii="宋体" w:hAnsi="宋体" w:cs="宋体"/>
                <w:spacing w:val="20"/>
                <w:sz w:val="24"/>
                <w:szCs w:val="24"/>
                <w:highlight w:val="none"/>
              </w:rPr>
            </w:pPr>
          </w:p>
        </w:tc>
        <w:tc>
          <w:tcPr>
            <w:tcW w:w="2059" w:type="dxa"/>
            <w:tcBorders>
              <w:top w:val="single" w:color="auto" w:sz="4" w:space="0"/>
              <w:left w:val="single" w:color="auto" w:sz="4" w:space="0"/>
              <w:bottom w:val="single" w:color="auto" w:sz="4" w:space="0"/>
              <w:right w:val="single" w:color="auto" w:sz="4" w:space="0"/>
            </w:tcBorders>
            <w:vAlign w:val="center"/>
          </w:tcPr>
          <w:p w14:paraId="4B05AA50">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投标有效期</w:t>
            </w:r>
          </w:p>
        </w:tc>
        <w:tc>
          <w:tcPr>
            <w:tcW w:w="4794" w:type="dxa"/>
            <w:tcBorders>
              <w:top w:val="single" w:color="auto" w:sz="4" w:space="0"/>
              <w:left w:val="single" w:color="auto" w:sz="4" w:space="0"/>
              <w:bottom w:val="single" w:color="auto" w:sz="4" w:space="0"/>
              <w:right w:val="single" w:color="auto" w:sz="4" w:space="0"/>
            </w:tcBorders>
            <w:vAlign w:val="center"/>
          </w:tcPr>
          <w:p w14:paraId="28C82779">
            <w:pPr>
              <w:adjustRightInd w:val="0"/>
              <w:snapToGrid w:val="0"/>
              <w:spacing w:line="320" w:lineRule="exact"/>
              <w:jc w:val="center"/>
              <w:textAlignment w:val="baseline"/>
              <w:rPr>
                <w:rFonts w:ascii="宋体" w:hAnsi="宋体" w:cs="宋体"/>
                <w:spacing w:val="20"/>
                <w:sz w:val="24"/>
                <w:szCs w:val="24"/>
                <w:highlight w:val="none"/>
              </w:rPr>
            </w:pPr>
            <w:r>
              <w:rPr>
                <w:rFonts w:hint="eastAsia" w:ascii="宋体" w:hAnsi="宋体" w:cs="宋体"/>
                <w:spacing w:val="20"/>
                <w:sz w:val="24"/>
                <w:szCs w:val="24"/>
                <w:highlight w:val="none"/>
              </w:rPr>
              <w:t>符合第二章“投标须知前附表”</w:t>
            </w:r>
          </w:p>
        </w:tc>
      </w:tr>
    </w:tbl>
    <w:p w14:paraId="0C836F2E">
      <w:pPr>
        <w:jc w:val="center"/>
        <w:rPr>
          <w:rFonts w:ascii="宋体" w:hAnsi="宋体" w:cs="宋体"/>
          <w:b/>
          <w:bCs/>
          <w:sz w:val="24"/>
          <w:szCs w:val="32"/>
          <w:highlight w:val="none"/>
        </w:rPr>
      </w:pPr>
      <w:r>
        <w:rPr>
          <w:rFonts w:hint="eastAsia" w:ascii="宋体" w:hAnsi="宋体" w:cs="宋体"/>
          <w:b/>
          <w:bCs/>
          <w:sz w:val="24"/>
          <w:szCs w:val="32"/>
          <w:highlight w:val="none"/>
        </w:rPr>
        <w:t>评分办法</w:t>
      </w:r>
    </w:p>
    <w:tbl>
      <w:tblPr>
        <w:tblStyle w:val="24"/>
        <w:tblW w:w="91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57"/>
        <w:gridCol w:w="5954"/>
      </w:tblGrid>
      <w:tr w14:paraId="04733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588" w:type="dxa"/>
            <w:tcBorders>
              <w:tl2br w:val="nil"/>
              <w:tr2bl w:val="nil"/>
            </w:tcBorders>
            <w:vAlign w:val="center"/>
          </w:tcPr>
          <w:p w14:paraId="79CD09AE">
            <w:pPr>
              <w:rPr>
                <w:rFonts w:ascii="宋体" w:hAnsi="宋体" w:cs="宋体"/>
                <w:sz w:val="24"/>
                <w:szCs w:val="24"/>
                <w:highlight w:val="none"/>
              </w:rPr>
            </w:pPr>
            <w:r>
              <w:rPr>
                <w:rFonts w:hint="eastAsia" w:ascii="宋体" w:hAnsi="宋体" w:cs="宋体"/>
                <w:sz w:val="24"/>
                <w:szCs w:val="24"/>
                <w:highlight w:val="none"/>
              </w:rPr>
              <w:t>分值构成</w:t>
            </w:r>
          </w:p>
          <w:p w14:paraId="4A199467">
            <w:pPr>
              <w:rPr>
                <w:rFonts w:ascii="宋体" w:hAnsi="宋体" w:cs="宋体"/>
                <w:sz w:val="24"/>
                <w:szCs w:val="24"/>
                <w:highlight w:val="none"/>
              </w:rPr>
            </w:pPr>
            <w:r>
              <w:rPr>
                <w:rFonts w:hint="eastAsia" w:ascii="宋体" w:hAnsi="宋体" w:cs="宋体"/>
                <w:sz w:val="24"/>
                <w:szCs w:val="24"/>
                <w:highlight w:val="none"/>
              </w:rPr>
              <w:t>(总分100分)</w:t>
            </w:r>
          </w:p>
        </w:tc>
        <w:tc>
          <w:tcPr>
            <w:tcW w:w="7611" w:type="dxa"/>
            <w:gridSpan w:val="2"/>
            <w:tcBorders>
              <w:tl2br w:val="nil"/>
              <w:tr2bl w:val="nil"/>
            </w:tcBorders>
            <w:vAlign w:val="center"/>
          </w:tcPr>
          <w:p w14:paraId="6C8A6476">
            <w:pPr>
              <w:rPr>
                <w:rFonts w:ascii="宋体" w:hAnsi="宋体" w:cs="宋体"/>
                <w:sz w:val="24"/>
                <w:szCs w:val="24"/>
                <w:highlight w:val="none"/>
              </w:rPr>
            </w:pPr>
            <w:r>
              <w:rPr>
                <w:rFonts w:hint="eastAsia" w:ascii="宋体" w:hAnsi="宋体" w:cs="宋体"/>
                <w:sz w:val="24"/>
                <w:szCs w:val="24"/>
                <w:highlight w:val="none"/>
              </w:rPr>
              <w:t>投标报价：30分</w:t>
            </w:r>
          </w:p>
          <w:p w14:paraId="05937A30">
            <w:pPr>
              <w:rPr>
                <w:rFonts w:ascii="宋体" w:hAnsi="宋体" w:cs="宋体"/>
                <w:sz w:val="24"/>
                <w:szCs w:val="24"/>
                <w:highlight w:val="none"/>
              </w:rPr>
            </w:pPr>
            <w:r>
              <w:rPr>
                <w:rFonts w:hint="eastAsia" w:ascii="宋体" w:hAnsi="宋体" w:cs="宋体"/>
                <w:sz w:val="24"/>
                <w:szCs w:val="24"/>
                <w:highlight w:val="none"/>
              </w:rPr>
              <w:t>技术部分：30分</w:t>
            </w:r>
          </w:p>
          <w:p w14:paraId="44A44A5A">
            <w:pPr>
              <w:rPr>
                <w:rFonts w:ascii="宋体" w:hAnsi="宋体" w:cs="宋体"/>
                <w:sz w:val="24"/>
                <w:szCs w:val="24"/>
                <w:highlight w:val="none"/>
                <w:lang w:eastAsia="en-US"/>
              </w:rPr>
            </w:pPr>
            <w:r>
              <w:rPr>
                <w:rFonts w:hint="eastAsia" w:ascii="宋体" w:hAnsi="宋体" w:cs="宋体"/>
                <w:sz w:val="24"/>
                <w:szCs w:val="24"/>
                <w:highlight w:val="none"/>
              </w:rPr>
              <w:t>商务部分：40分</w:t>
            </w:r>
          </w:p>
        </w:tc>
      </w:tr>
      <w:tr w14:paraId="00AAD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588" w:type="dxa"/>
            <w:tcBorders>
              <w:tl2br w:val="nil"/>
              <w:tr2bl w:val="nil"/>
            </w:tcBorders>
            <w:vAlign w:val="center"/>
          </w:tcPr>
          <w:p w14:paraId="5D81B671">
            <w:pPr>
              <w:rPr>
                <w:rFonts w:ascii="宋体" w:hAnsi="宋体" w:cs="宋体"/>
                <w:sz w:val="24"/>
                <w:szCs w:val="24"/>
                <w:highlight w:val="none"/>
                <w:lang w:eastAsia="en-US"/>
              </w:rPr>
            </w:pPr>
            <w:r>
              <w:rPr>
                <w:rFonts w:hint="eastAsia" w:ascii="宋体" w:hAnsi="宋体" w:cs="宋体"/>
                <w:sz w:val="24"/>
                <w:szCs w:val="24"/>
                <w:highlight w:val="none"/>
              </w:rPr>
              <w:t>评审内容</w:t>
            </w:r>
          </w:p>
        </w:tc>
        <w:tc>
          <w:tcPr>
            <w:tcW w:w="7611" w:type="dxa"/>
            <w:gridSpan w:val="2"/>
            <w:tcBorders>
              <w:tl2br w:val="nil"/>
              <w:tr2bl w:val="nil"/>
            </w:tcBorders>
            <w:vAlign w:val="center"/>
          </w:tcPr>
          <w:p w14:paraId="3B5E7E62">
            <w:pPr>
              <w:rPr>
                <w:rFonts w:ascii="宋体" w:hAnsi="宋体" w:cs="宋体"/>
                <w:sz w:val="24"/>
                <w:szCs w:val="24"/>
                <w:highlight w:val="none"/>
                <w:lang w:eastAsia="en-US"/>
              </w:rPr>
            </w:pPr>
            <w:r>
              <w:rPr>
                <w:rFonts w:hint="eastAsia" w:ascii="宋体" w:hAnsi="宋体" w:cs="宋体"/>
                <w:sz w:val="24"/>
                <w:szCs w:val="24"/>
                <w:highlight w:val="none"/>
              </w:rPr>
              <w:t>评审标准</w:t>
            </w:r>
          </w:p>
        </w:tc>
      </w:tr>
      <w:tr w14:paraId="6FD8F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8" w:type="dxa"/>
            <w:tcBorders>
              <w:tl2br w:val="nil"/>
              <w:tr2bl w:val="nil"/>
            </w:tcBorders>
            <w:vAlign w:val="center"/>
          </w:tcPr>
          <w:p w14:paraId="056E570E">
            <w:pPr>
              <w:rPr>
                <w:rFonts w:ascii="宋体" w:hAnsi="宋体" w:cs="宋体"/>
                <w:sz w:val="24"/>
                <w:szCs w:val="24"/>
                <w:highlight w:val="none"/>
              </w:rPr>
            </w:pPr>
            <w:r>
              <w:rPr>
                <w:rFonts w:hint="eastAsia" w:ascii="宋体" w:hAnsi="宋体" w:cs="宋体"/>
                <w:sz w:val="24"/>
                <w:szCs w:val="24"/>
                <w:highlight w:val="none"/>
              </w:rPr>
              <w:t>投标报价</w:t>
            </w:r>
          </w:p>
          <w:p w14:paraId="33039469">
            <w:pPr>
              <w:rPr>
                <w:rFonts w:ascii="宋体" w:hAnsi="宋体" w:cs="宋体"/>
                <w:sz w:val="24"/>
                <w:szCs w:val="24"/>
                <w:highlight w:val="none"/>
              </w:rPr>
            </w:pPr>
            <w:r>
              <w:rPr>
                <w:rFonts w:hint="eastAsia" w:ascii="宋体" w:hAnsi="宋体" w:cs="宋体"/>
                <w:sz w:val="24"/>
                <w:szCs w:val="24"/>
                <w:highlight w:val="none"/>
              </w:rPr>
              <w:t>（30分）</w:t>
            </w:r>
          </w:p>
        </w:tc>
        <w:tc>
          <w:tcPr>
            <w:tcW w:w="7611" w:type="dxa"/>
            <w:gridSpan w:val="2"/>
            <w:tcBorders>
              <w:tl2br w:val="nil"/>
              <w:tr2bl w:val="nil"/>
            </w:tcBorders>
            <w:vAlign w:val="center"/>
          </w:tcPr>
          <w:p w14:paraId="772CB824">
            <w:pPr>
              <w:rPr>
                <w:rFonts w:ascii="宋体" w:hAnsi="宋体" w:cs="宋体"/>
                <w:sz w:val="24"/>
                <w:szCs w:val="24"/>
                <w:highlight w:val="none"/>
              </w:rPr>
            </w:pPr>
            <w:r>
              <w:rPr>
                <w:rFonts w:hint="eastAsia" w:ascii="宋体" w:hAnsi="宋体" w:cs="宋体"/>
                <w:sz w:val="24"/>
                <w:szCs w:val="24"/>
                <w:highlight w:val="none"/>
              </w:rPr>
              <w:t>1.综合评分法中的价格分统一采用低价优先法计算，即满足招标文件要求且投标价格最低的报价为评标基准价，其价格分为满分。其他投标人的价格分统一按以下公式计算：</w:t>
            </w:r>
          </w:p>
          <w:p w14:paraId="13078640">
            <w:pPr>
              <w:rPr>
                <w:rFonts w:ascii="宋体" w:hAnsi="宋体" w:cs="宋体"/>
                <w:sz w:val="24"/>
                <w:szCs w:val="24"/>
                <w:highlight w:val="none"/>
              </w:rPr>
            </w:pPr>
            <w:r>
              <w:rPr>
                <w:rFonts w:hint="eastAsia" w:ascii="宋体" w:hAnsi="宋体" w:cs="宋体"/>
                <w:sz w:val="24"/>
                <w:szCs w:val="24"/>
                <w:highlight w:val="none"/>
              </w:rPr>
              <w:t>投标报价得分=（评标基准值／投标报价）×30%×100</w:t>
            </w:r>
          </w:p>
          <w:p w14:paraId="7B4DF790">
            <w:pPr>
              <w:rPr>
                <w:rFonts w:ascii="宋体" w:hAnsi="宋体" w:cs="宋体"/>
                <w:sz w:val="24"/>
                <w:szCs w:val="24"/>
                <w:highlight w:val="none"/>
              </w:rPr>
            </w:pPr>
            <w:r>
              <w:rPr>
                <w:rFonts w:hint="eastAsia" w:ascii="宋体" w:hAnsi="宋体" w:cs="宋体"/>
                <w:sz w:val="24"/>
                <w:szCs w:val="24"/>
                <w:highlight w:val="none"/>
              </w:rPr>
              <w:t>2.投标人的报价超出招标控制价的，按无效标处理。</w:t>
            </w:r>
          </w:p>
          <w:p w14:paraId="5FC992D1">
            <w:pPr>
              <w:rPr>
                <w:rFonts w:ascii="宋体" w:hAnsi="宋体" w:cs="宋体"/>
                <w:sz w:val="24"/>
                <w:szCs w:val="24"/>
                <w:highlight w:val="none"/>
              </w:rPr>
            </w:pPr>
            <w:r>
              <w:rPr>
                <w:rFonts w:hint="eastAsia" w:ascii="宋体" w:hAnsi="宋体" w:cs="宋体"/>
                <w:sz w:val="24"/>
                <w:szCs w:val="24"/>
                <w:highlight w:val="none"/>
              </w:rPr>
              <w:t>3.评标委员会认为投标人的报价明显低于其他通过符合性审查投标人的报价，有可能影响产品质量或者不能诚信履约的，应当要求其在电子交易系统中合理的时间内提供书面说明，必要时提交相关证明材料；投标人不能证明其报价合理性的，评标委员会应当将其作为无效投标处理。</w:t>
            </w:r>
          </w:p>
          <w:p w14:paraId="5C1FCD3A">
            <w:pPr>
              <w:rPr>
                <w:rFonts w:ascii="宋体" w:hAnsi="宋体" w:cs="宋体"/>
                <w:sz w:val="24"/>
                <w:szCs w:val="24"/>
                <w:highlight w:val="none"/>
              </w:rPr>
            </w:pPr>
            <w:r>
              <w:rPr>
                <w:rFonts w:hint="eastAsia" w:ascii="宋体" w:hAnsi="宋体" w:cs="宋体"/>
                <w:sz w:val="24"/>
                <w:szCs w:val="24"/>
                <w:highlight w:val="none"/>
              </w:rPr>
              <w:t>（1）根据财政部、工业和信息化部印发的《政府采购促进中小企业发展管理办法》（财库[2020]46号）的规定，对小型和微型企业产品的价格给予20%的扣除（工程项目为5%），用扣除后的价格参与评审。</w:t>
            </w:r>
          </w:p>
          <w:p w14:paraId="5A35C25A">
            <w:pPr>
              <w:rPr>
                <w:rFonts w:ascii="宋体" w:hAnsi="宋体" w:cs="宋体"/>
                <w:sz w:val="24"/>
                <w:szCs w:val="24"/>
                <w:highlight w:val="none"/>
              </w:rPr>
            </w:pPr>
            <w:r>
              <w:rPr>
                <w:rFonts w:hint="eastAsia" w:ascii="宋体" w:hAnsi="宋体" w:cs="宋体"/>
                <w:sz w:val="24"/>
                <w:szCs w:val="24"/>
                <w:highlight w:val="none"/>
              </w:rPr>
              <w:t>（2）在政府采购活动中，供应商提供的货物、工程或者服务符合下列情形的，享受本办法规定的中小企业扶持政策：</w:t>
            </w:r>
          </w:p>
          <w:p w14:paraId="74ADBB48">
            <w:pPr>
              <w:rPr>
                <w:rFonts w:ascii="宋体" w:hAnsi="宋体" w:cs="宋体"/>
                <w:sz w:val="24"/>
                <w:szCs w:val="24"/>
                <w:highlight w:val="none"/>
              </w:rPr>
            </w:pPr>
            <w:r>
              <w:rPr>
                <w:rFonts w:hint="eastAsia" w:ascii="宋体" w:hAnsi="宋体" w:cs="宋体"/>
                <w:sz w:val="24"/>
                <w:szCs w:val="24"/>
                <w:highlight w:val="none"/>
              </w:rPr>
              <w:t>（一）在货物采购项目中，货物由中小企业制造，即货物由中小企业生产且使用该中小企业商号或者注册商标；</w:t>
            </w:r>
          </w:p>
          <w:p w14:paraId="7610AAD9">
            <w:pPr>
              <w:rPr>
                <w:rFonts w:ascii="宋体" w:hAnsi="宋体" w:cs="宋体"/>
                <w:sz w:val="24"/>
                <w:szCs w:val="24"/>
                <w:highlight w:val="none"/>
              </w:rPr>
            </w:pPr>
            <w:r>
              <w:rPr>
                <w:rFonts w:hint="eastAsia" w:ascii="宋体" w:hAnsi="宋体" w:cs="宋体"/>
                <w:sz w:val="24"/>
                <w:szCs w:val="24"/>
                <w:highlight w:val="none"/>
              </w:rPr>
              <w:t>（二）在工程采购项目中，工程由中小企业承建，即工程施工单位为中小企业；</w:t>
            </w:r>
          </w:p>
          <w:p w14:paraId="56995496">
            <w:pPr>
              <w:rPr>
                <w:rFonts w:ascii="宋体" w:hAnsi="宋体" w:cs="宋体"/>
                <w:sz w:val="24"/>
                <w:szCs w:val="24"/>
                <w:highlight w:val="none"/>
              </w:rPr>
            </w:pPr>
            <w:r>
              <w:rPr>
                <w:rFonts w:hint="eastAsia" w:ascii="宋体" w:hAnsi="宋体" w:cs="宋体"/>
                <w:sz w:val="24"/>
                <w:szCs w:val="24"/>
                <w:highlight w:val="none"/>
              </w:rPr>
              <w:t>（三）在服务采购项目中，服务由中小企业承接，即提供服务的人员为中小企业依照《中华人民共和国劳动合同法》订立劳动合同的从业人员。</w:t>
            </w:r>
          </w:p>
          <w:p w14:paraId="2257E2C3">
            <w:pPr>
              <w:rPr>
                <w:rFonts w:ascii="宋体" w:hAnsi="宋体" w:cs="宋体"/>
                <w:sz w:val="24"/>
                <w:szCs w:val="24"/>
                <w:highlight w:val="none"/>
              </w:rPr>
            </w:pPr>
            <w:r>
              <w:rPr>
                <w:rFonts w:hint="eastAsia" w:ascii="宋体" w:hAnsi="宋体" w:cs="宋体"/>
                <w:sz w:val="24"/>
                <w:szCs w:val="24"/>
                <w:highlight w:val="none"/>
              </w:rPr>
              <w:t>在货物采购项目中，供应商提供的货物既有中小企业制造货物，也有大型企业制造货物的，不享受本办法规定的中小企业扶持政策。</w:t>
            </w:r>
          </w:p>
          <w:p w14:paraId="23168981">
            <w:pPr>
              <w:rPr>
                <w:rFonts w:ascii="宋体" w:hAnsi="宋体" w:cs="宋体"/>
                <w:sz w:val="24"/>
                <w:szCs w:val="24"/>
                <w:highlight w:val="none"/>
              </w:rPr>
            </w:pPr>
            <w:r>
              <w:rPr>
                <w:rFonts w:hint="eastAsia" w:ascii="宋体" w:hAnsi="宋体" w:cs="宋体"/>
                <w:sz w:val="24"/>
                <w:szCs w:val="24"/>
                <w:highlight w:val="none"/>
              </w:rPr>
              <w:t>以联合体形式参加政府采购活动，联合体各方均为中小企业的，联合体视同中小企业。其中，联合体各方均为小微企业的，联合体视同小微企业。</w:t>
            </w:r>
          </w:p>
          <w:p w14:paraId="0B2DF2DD">
            <w:pPr>
              <w:rPr>
                <w:rFonts w:ascii="宋体" w:hAnsi="宋体" w:cs="宋体"/>
                <w:sz w:val="24"/>
                <w:szCs w:val="24"/>
                <w:highlight w:val="none"/>
              </w:rPr>
            </w:pPr>
            <w:r>
              <w:rPr>
                <w:rFonts w:hint="eastAsia" w:ascii="宋体" w:hAnsi="宋体" w:cs="宋体"/>
                <w:sz w:val="24"/>
                <w:szCs w:val="24"/>
                <w:highlight w:val="none"/>
              </w:rPr>
              <w:t>中小企业参加政府采购活动，应当出具《中小企业声明函》，否则不得享受相关中小企业扶持政策。任何单位和个人不得要求供应商提供《中小企业声明函》之外的中小企业身份证明文件。</w:t>
            </w:r>
          </w:p>
          <w:p w14:paraId="2356B2E0">
            <w:pPr>
              <w:rPr>
                <w:rFonts w:ascii="宋体" w:hAnsi="宋体" w:cs="宋体"/>
                <w:sz w:val="24"/>
                <w:szCs w:val="24"/>
                <w:highlight w:val="none"/>
              </w:rPr>
            </w:pPr>
            <w:r>
              <w:rPr>
                <w:rFonts w:hint="eastAsia" w:ascii="宋体" w:hAnsi="宋体" w:cs="宋体"/>
                <w:sz w:val="24"/>
                <w:szCs w:val="24"/>
                <w:highlight w:val="none"/>
              </w:rPr>
              <w:t>（四）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提供由省级以上监狱管理局、戒毒管理局(含新疆生产建设兵团)出具的属于监狱企业的证明文件，不再提供《中小微企业声明函》。</w:t>
            </w:r>
          </w:p>
          <w:p w14:paraId="5FA63CA7">
            <w:pPr>
              <w:rPr>
                <w:rFonts w:ascii="宋体" w:hAnsi="宋体" w:cs="宋体"/>
                <w:sz w:val="24"/>
                <w:szCs w:val="24"/>
                <w:highlight w:val="none"/>
              </w:rPr>
            </w:pPr>
            <w:r>
              <w:rPr>
                <w:rFonts w:hint="eastAsia" w:ascii="宋体" w:hAnsi="宋体" w:cs="宋体"/>
                <w:sz w:val="24"/>
                <w:szCs w:val="24"/>
                <w:highlight w:val="none"/>
              </w:rPr>
              <w:t>（五）残疾人福利性单位视同小型或微型企业（投标人若为残疾人福利性单位，须按规定提供《残疾人福利性单位声明函》（见投标文件格式部分），并对其真实性负责；）</w:t>
            </w:r>
          </w:p>
          <w:p w14:paraId="339CFB9D">
            <w:pPr>
              <w:rPr>
                <w:rFonts w:ascii="宋体" w:hAnsi="宋体" w:cs="宋体"/>
                <w:sz w:val="24"/>
                <w:szCs w:val="24"/>
                <w:highlight w:val="none"/>
              </w:rPr>
            </w:pPr>
            <w:r>
              <w:rPr>
                <w:rFonts w:hint="eastAsia" w:ascii="宋体" w:hAnsi="宋体" w:cs="宋体"/>
                <w:sz w:val="24"/>
                <w:szCs w:val="24"/>
                <w:highlight w:val="none"/>
              </w:rPr>
              <w:t>同一投标人，小型企业或微型企业、监狱企业、残疾人福利性单位价格扣除优惠只享受一次，不得重复享受。</w:t>
            </w:r>
          </w:p>
          <w:p w14:paraId="47DC9A01">
            <w:pPr>
              <w:rPr>
                <w:rFonts w:ascii="宋体" w:hAnsi="宋体" w:cs="宋体"/>
                <w:sz w:val="24"/>
                <w:szCs w:val="24"/>
                <w:highlight w:val="none"/>
              </w:rPr>
            </w:pPr>
            <w:r>
              <w:rPr>
                <w:rFonts w:hint="eastAsia" w:ascii="宋体" w:hAnsi="宋体" w:cs="宋体"/>
                <w:sz w:val="24"/>
                <w:szCs w:val="24"/>
                <w:highlight w:val="none"/>
              </w:rPr>
              <w:t>注：根据上述要求计算得出的价格仅限于评标时使用，对中标价格没有任何影响。</w:t>
            </w:r>
          </w:p>
        </w:tc>
      </w:tr>
      <w:tr w14:paraId="0BF3E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88" w:type="dxa"/>
            <w:vMerge w:val="restart"/>
            <w:tcBorders>
              <w:tl2br w:val="nil"/>
              <w:tr2bl w:val="nil"/>
            </w:tcBorders>
            <w:vAlign w:val="center"/>
          </w:tcPr>
          <w:p w14:paraId="387E1ABA">
            <w:pPr>
              <w:rPr>
                <w:rFonts w:ascii="宋体" w:hAnsi="宋体" w:cs="宋体"/>
                <w:sz w:val="24"/>
                <w:szCs w:val="24"/>
                <w:highlight w:val="none"/>
              </w:rPr>
            </w:pPr>
            <w:r>
              <w:rPr>
                <w:rFonts w:hint="eastAsia" w:ascii="宋体" w:hAnsi="宋体" w:cs="宋体"/>
                <w:sz w:val="24"/>
                <w:szCs w:val="24"/>
                <w:highlight w:val="none"/>
              </w:rPr>
              <w:t>技术部分</w:t>
            </w:r>
          </w:p>
          <w:p w14:paraId="6FB131A2">
            <w:pPr>
              <w:rPr>
                <w:rFonts w:ascii="宋体" w:hAnsi="宋体" w:cs="宋体"/>
                <w:sz w:val="24"/>
                <w:szCs w:val="24"/>
                <w:highlight w:val="none"/>
              </w:rPr>
            </w:pPr>
            <w:r>
              <w:rPr>
                <w:rFonts w:hint="eastAsia" w:ascii="宋体" w:hAnsi="宋体" w:cs="宋体"/>
                <w:sz w:val="24"/>
                <w:szCs w:val="24"/>
                <w:highlight w:val="none"/>
              </w:rPr>
              <w:t>（30分）</w:t>
            </w:r>
          </w:p>
        </w:tc>
        <w:tc>
          <w:tcPr>
            <w:tcW w:w="1657" w:type="dxa"/>
            <w:tcBorders>
              <w:tl2br w:val="nil"/>
              <w:tr2bl w:val="nil"/>
            </w:tcBorders>
            <w:vAlign w:val="center"/>
          </w:tcPr>
          <w:p w14:paraId="3FF4F8EA">
            <w:pPr>
              <w:jc w:val="center"/>
              <w:rPr>
                <w:rFonts w:hint="eastAsia" w:ascii="宋体" w:hAnsi="宋体" w:cs="宋体"/>
                <w:sz w:val="24"/>
                <w:szCs w:val="24"/>
                <w:highlight w:val="none"/>
              </w:rPr>
            </w:pPr>
            <w:r>
              <w:rPr>
                <w:rFonts w:hint="eastAsia" w:ascii="宋体" w:hAnsi="宋体" w:cs="宋体"/>
                <w:sz w:val="24"/>
                <w:szCs w:val="24"/>
                <w:highlight w:val="none"/>
              </w:rPr>
              <w:t>技术参数</w:t>
            </w:r>
          </w:p>
          <w:p w14:paraId="0845BB0F">
            <w:pPr>
              <w:jc w:val="center"/>
              <w:rPr>
                <w:rFonts w:ascii="宋体" w:hAnsi="宋体" w:cs="宋体"/>
                <w:sz w:val="24"/>
                <w:szCs w:val="24"/>
                <w:highlight w:val="none"/>
              </w:rPr>
            </w:pPr>
            <w:r>
              <w:rPr>
                <w:rFonts w:hint="eastAsia" w:ascii="宋体" w:hAnsi="宋体" w:cs="宋体"/>
                <w:sz w:val="24"/>
                <w:szCs w:val="24"/>
                <w:highlight w:val="none"/>
              </w:rPr>
              <w:t>（20分）</w:t>
            </w:r>
          </w:p>
        </w:tc>
        <w:tc>
          <w:tcPr>
            <w:tcW w:w="5954" w:type="dxa"/>
            <w:tcBorders>
              <w:tl2br w:val="nil"/>
              <w:tr2bl w:val="nil"/>
            </w:tcBorders>
            <w:vAlign w:val="center"/>
          </w:tcPr>
          <w:p w14:paraId="16F1AA42">
            <w:pPr>
              <w:rPr>
                <w:rFonts w:ascii="宋体" w:hAnsi="宋体" w:cs="宋体"/>
                <w:sz w:val="24"/>
                <w:szCs w:val="24"/>
                <w:highlight w:val="none"/>
              </w:rPr>
            </w:pPr>
            <w:r>
              <w:rPr>
                <w:rFonts w:hint="eastAsia" w:ascii="宋体" w:hAnsi="宋体" w:cs="宋体"/>
                <w:sz w:val="24"/>
                <w:szCs w:val="24"/>
                <w:highlight w:val="none"/>
              </w:rPr>
              <w:t>1、投标产品的技术参数、技术性能满足招标文件要求得基本分（20分）。技术参数中每一项负偏差扣1分，有10项不满足（负偏离）直接得0分</w:t>
            </w:r>
            <w:r>
              <w:rPr>
                <w:rFonts w:hint="eastAsia" w:ascii="宋体" w:hAnsi="宋体" w:cs="宋体"/>
                <w:sz w:val="24"/>
                <w:szCs w:val="24"/>
                <w:highlight w:val="none"/>
                <w:lang w:val="zh-CN"/>
              </w:rPr>
              <w:t>。</w:t>
            </w:r>
          </w:p>
        </w:tc>
      </w:tr>
      <w:tr w14:paraId="5B679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88" w:type="dxa"/>
            <w:vMerge w:val="continue"/>
            <w:tcBorders>
              <w:tl2br w:val="nil"/>
              <w:tr2bl w:val="nil"/>
            </w:tcBorders>
            <w:vAlign w:val="center"/>
          </w:tcPr>
          <w:p w14:paraId="348D9E7B">
            <w:pPr>
              <w:rPr>
                <w:rFonts w:ascii="宋体" w:hAnsi="宋体" w:cs="宋体"/>
                <w:sz w:val="24"/>
                <w:szCs w:val="24"/>
                <w:highlight w:val="none"/>
              </w:rPr>
            </w:pPr>
          </w:p>
        </w:tc>
        <w:tc>
          <w:tcPr>
            <w:tcW w:w="1657" w:type="dxa"/>
            <w:tcBorders>
              <w:tl2br w:val="nil"/>
              <w:tr2bl w:val="nil"/>
            </w:tcBorders>
            <w:vAlign w:val="center"/>
          </w:tcPr>
          <w:p w14:paraId="63931FA4">
            <w:pPr>
              <w:jc w:val="center"/>
              <w:rPr>
                <w:rFonts w:hint="eastAsia" w:ascii="宋体" w:hAnsi="宋体" w:cs="宋体"/>
                <w:sz w:val="24"/>
                <w:szCs w:val="24"/>
                <w:highlight w:val="none"/>
              </w:rPr>
            </w:pPr>
            <w:bookmarkStart w:id="26" w:name="OLE_LINK11" w:colFirst="1" w:colLast="2"/>
            <w:r>
              <w:rPr>
                <w:rFonts w:hint="eastAsia" w:ascii="宋体" w:hAnsi="宋体" w:cs="宋体"/>
                <w:sz w:val="24"/>
                <w:szCs w:val="24"/>
                <w:highlight w:val="none"/>
              </w:rPr>
              <w:t>类似业绩</w:t>
            </w:r>
          </w:p>
          <w:p w14:paraId="5F700B92">
            <w:pPr>
              <w:jc w:val="center"/>
              <w:rPr>
                <w:rFonts w:ascii="宋体" w:hAnsi="宋体" w:cs="宋体"/>
                <w:sz w:val="24"/>
                <w:szCs w:val="24"/>
                <w:highlight w:val="none"/>
              </w:rPr>
            </w:pPr>
            <w:r>
              <w:rPr>
                <w:rFonts w:hint="eastAsia" w:ascii="宋体" w:hAnsi="宋体" w:cs="宋体"/>
                <w:sz w:val="24"/>
                <w:szCs w:val="24"/>
                <w:highlight w:val="none"/>
              </w:rPr>
              <w:t>（3分）</w:t>
            </w:r>
          </w:p>
        </w:tc>
        <w:tc>
          <w:tcPr>
            <w:tcW w:w="5954" w:type="dxa"/>
            <w:tcBorders>
              <w:tl2br w:val="nil"/>
              <w:tr2bl w:val="nil"/>
            </w:tcBorders>
            <w:vAlign w:val="center"/>
          </w:tcPr>
          <w:p w14:paraId="5DE92E32">
            <w:pPr>
              <w:rPr>
                <w:rFonts w:ascii="宋体" w:hAnsi="宋体" w:cs="宋体"/>
                <w:sz w:val="24"/>
                <w:szCs w:val="24"/>
                <w:highlight w:val="none"/>
              </w:rPr>
            </w:pPr>
            <w:r>
              <w:rPr>
                <w:rFonts w:hint="eastAsia" w:ascii="宋体" w:hAnsi="宋体" w:cs="宋体"/>
                <w:sz w:val="24"/>
                <w:szCs w:val="24"/>
                <w:highlight w:val="none"/>
              </w:rPr>
              <w:t>提供2022年1月1日（投标文件中需提供合同、中标通知书、中标公示截图，时间以合同签订日期为准）以来的类似业绩，每提供一份1.5分，最多得3分。</w:t>
            </w:r>
          </w:p>
        </w:tc>
      </w:tr>
      <w:tr w14:paraId="5383D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88" w:type="dxa"/>
            <w:vMerge w:val="continue"/>
            <w:tcBorders>
              <w:tl2br w:val="nil"/>
              <w:tr2bl w:val="nil"/>
            </w:tcBorders>
            <w:vAlign w:val="center"/>
          </w:tcPr>
          <w:p w14:paraId="5527DD11">
            <w:pPr>
              <w:rPr>
                <w:rFonts w:ascii="宋体" w:hAnsi="宋体" w:cs="宋体"/>
                <w:sz w:val="24"/>
                <w:szCs w:val="24"/>
                <w:highlight w:val="none"/>
              </w:rPr>
            </w:pPr>
          </w:p>
        </w:tc>
        <w:tc>
          <w:tcPr>
            <w:tcW w:w="1657" w:type="dxa"/>
            <w:tcBorders>
              <w:tl2br w:val="nil"/>
              <w:tr2bl w:val="nil"/>
            </w:tcBorders>
            <w:vAlign w:val="center"/>
          </w:tcPr>
          <w:p w14:paraId="6BA3C05A">
            <w:pPr>
              <w:rPr>
                <w:rFonts w:ascii="宋体" w:hAnsi="宋体" w:cs="宋体"/>
                <w:sz w:val="24"/>
                <w:szCs w:val="24"/>
                <w:highlight w:val="none"/>
              </w:rPr>
            </w:pPr>
            <w:r>
              <w:rPr>
                <w:rFonts w:hint="eastAsia" w:ascii="宋体" w:hAnsi="宋体" w:cs="宋体"/>
                <w:sz w:val="24"/>
                <w:szCs w:val="24"/>
                <w:highlight w:val="none"/>
              </w:rPr>
              <w:t>落实绿色产品（节能产品、环境标志产品）优先采购政策（2分）</w:t>
            </w:r>
          </w:p>
        </w:tc>
        <w:tc>
          <w:tcPr>
            <w:tcW w:w="5954" w:type="dxa"/>
            <w:tcBorders>
              <w:tl2br w:val="nil"/>
              <w:tr2bl w:val="nil"/>
            </w:tcBorders>
            <w:vAlign w:val="center"/>
          </w:tcPr>
          <w:p w14:paraId="3768C255">
            <w:pPr>
              <w:rPr>
                <w:rFonts w:ascii="宋体" w:hAnsi="宋体" w:cs="宋体"/>
                <w:sz w:val="24"/>
                <w:szCs w:val="24"/>
                <w:highlight w:val="none"/>
              </w:rPr>
            </w:pPr>
            <w:r>
              <w:rPr>
                <w:rFonts w:hint="eastAsia" w:ascii="宋体" w:hAnsi="宋体" w:cs="宋体"/>
                <w:sz w:val="24"/>
                <w:szCs w:val="24"/>
                <w:highlight w:val="none"/>
              </w:rPr>
              <w:t xml:space="preserve">1、投标人所投货物在节能产品政府采购品目清单内的，提供具有国家确定的认证机构出具的处于有效期之内的节能产品认证证书原件扫描件；每提供一个产品得0.5分，最高得1分。未提供不得分。 </w:t>
            </w:r>
          </w:p>
          <w:p w14:paraId="5BADE6BF">
            <w:pPr>
              <w:rPr>
                <w:rFonts w:ascii="宋体" w:hAnsi="宋体" w:cs="宋体"/>
                <w:sz w:val="24"/>
                <w:szCs w:val="24"/>
                <w:highlight w:val="none"/>
              </w:rPr>
            </w:pPr>
            <w:r>
              <w:rPr>
                <w:rFonts w:hint="eastAsia" w:ascii="宋体" w:hAnsi="宋体" w:cs="宋体"/>
                <w:sz w:val="24"/>
                <w:szCs w:val="24"/>
                <w:highlight w:val="none"/>
              </w:rPr>
              <w:t>2、投标人所投货物在环境标志产品品目清单内的，提供具有国家确定的认证机构出具的处于有效期之内的环境标志产品认证证书原件扫描件；每提供一个产品得0.5分，最高得1分。未提供</w:t>
            </w:r>
            <w:r>
              <w:rPr>
                <w:rFonts w:hint="eastAsia" w:ascii="宋体" w:hAnsi="宋体" w:cs="宋体"/>
                <w:sz w:val="24"/>
                <w:szCs w:val="24"/>
                <w:highlight w:val="none"/>
                <w:lang w:eastAsia="en-US"/>
              </w:rPr>
              <w:t xml:space="preserve">不得分。 </w:t>
            </w:r>
          </w:p>
        </w:tc>
      </w:tr>
      <w:tr w14:paraId="4C08F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88" w:type="dxa"/>
            <w:vMerge w:val="continue"/>
            <w:tcBorders>
              <w:tl2br w:val="nil"/>
              <w:tr2bl w:val="nil"/>
            </w:tcBorders>
            <w:vAlign w:val="center"/>
          </w:tcPr>
          <w:p w14:paraId="5B0BA860">
            <w:pPr>
              <w:rPr>
                <w:rFonts w:ascii="宋体" w:hAnsi="宋体" w:cs="宋体"/>
                <w:sz w:val="24"/>
                <w:szCs w:val="24"/>
                <w:highlight w:val="none"/>
              </w:rPr>
            </w:pPr>
          </w:p>
        </w:tc>
        <w:tc>
          <w:tcPr>
            <w:tcW w:w="1657" w:type="dxa"/>
            <w:tcBorders>
              <w:tl2br w:val="nil"/>
              <w:tr2bl w:val="nil"/>
            </w:tcBorders>
            <w:vAlign w:val="center"/>
          </w:tcPr>
          <w:p w14:paraId="59244DA1">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优惠承诺</w:t>
            </w:r>
          </w:p>
          <w:p w14:paraId="3ABC1B02">
            <w:pPr>
              <w:jc w:val="center"/>
              <w:rPr>
                <w:rFonts w:ascii="宋体" w:hAnsi="宋体" w:cs="宋体"/>
                <w:color w:val="auto"/>
                <w:sz w:val="24"/>
                <w:szCs w:val="24"/>
                <w:highlight w:val="none"/>
              </w:rPr>
            </w:pPr>
            <w:r>
              <w:rPr>
                <w:rFonts w:hint="eastAsia" w:ascii="宋体" w:hAnsi="宋体" w:cs="宋体"/>
                <w:color w:val="auto"/>
                <w:sz w:val="24"/>
                <w:szCs w:val="24"/>
                <w:highlight w:val="none"/>
              </w:rPr>
              <w:t>（3分）</w:t>
            </w:r>
          </w:p>
        </w:tc>
        <w:tc>
          <w:tcPr>
            <w:tcW w:w="5954" w:type="dxa"/>
            <w:tcBorders>
              <w:tl2br w:val="nil"/>
              <w:tr2bl w:val="nil"/>
            </w:tcBorders>
            <w:vAlign w:val="center"/>
          </w:tcPr>
          <w:p w14:paraId="37DC1AF3">
            <w:pPr>
              <w:widowControl/>
              <w:kinsoku w:val="0"/>
              <w:autoSpaceDE w:val="0"/>
              <w:autoSpaceDN w:val="0"/>
              <w:adjustRightInd w:val="0"/>
              <w:snapToGrid w:val="0"/>
              <w:spacing w:line="240" w:lineRule="auto"/>
              <w:jc w:val="left"/>
              <w:textAlignment w:val="baseline"/>
              <w:rPr>
                <w:rFonts w:hint="eastAsia" w:ascii="宋体" w:hAnsi="宋体" w:eastAsia="宋体" w:cs="宋体"/>
                <w:snapToGrid w:val="0"/>
                <w:color w:val="auto"/>
                <w:kern w:val="0"/>
                <w:sz w:val="24"/>
                <w:szCs w:val="24"/>
                <w:highlight w:val="none"/>
                <w:lang w:val="en-US" w:eastAsia="zh-CN"/>
              </w:rPr>
            </w:pPr>
            <w:bookmarkStart w:id="27" w:name="OLE_LINK14"/>
            <w:r>
              <w:rPr>
                <w:rFonts w:hint="eastAsia" w:ascii="宋体" w:hAnsi="宋体" w:eastAsia="宋体" w:cs="宋体"/>
                <w:snapToGrid w:val="0"/>
                <w:color w:val="auto"/>
                <w:kern w:val="0"/>
                <w:sz w:val="24"/>
                <w:szCs w:val="24"/>
                <w:highlight w:val="none"/>
                <w:lang w:eastAsia="en-US"/>
              </w:rPr>
              <w:t>投标人针对</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en-US"/>
              </w:rPr>
              <w:t>其他有利于招标的</w:t>
            </w:r>
            <w:r>
              <w:rPr>
                <w:rFonts w:hint="eastAsia" w:ascii="宋体" w:hAnsi="宋体" w:eastAsia="宋体" w:cs="宋体"/>
                <w:snapToGrid w:val="0"/>
                <w:color w:val="auto"/>
                <w:kern w:val="0"/>
                <w:sz w:val="24"/>
                <w:szCs w:val="24"/>
                <w:highlight w:val="none"/>
                <w:lang w:val="en-US" w:eastAsia="zh-CN"/>
              </w:rPr>
              <w:t>优惠及服务承诺措施、</w:t>
            </w:r>
            <w:r>
              <w:rPr>
                <w:rFonts w:hint="eastAsia" w:ascii="宋体" w:hAnsi="宋体" w:eastAsia="宋体" w:cs="宋体"/>
                <w:snapToGrid w:val="0"/>
                <w:color w:val="auto"/>
                <w:kern w:val="0"/>
                <w:sz w:val="24"/>
                <w:szCs w:val="24"/>
                <w:highlight w:val="none"/>
                <w:lang w:eastAsia="en-US"/>
              </w:rPr>
              <w:t>实</w:t>
            </w:r>
            <w:r>
              <w:rPr>
                <w:rFonts w:hint="eastAsia" w:ascii="宋体" w:hAnsi="宋体" w:eastAsia="宋体" w:cs="宋体"/>
                <w:snapToGrid w:val="0"/>
                <w:color w:val="auto"/>
                <w:kern w:val="0"/>
                <w:sz w:val="24"/>
                <w:szCs w:val="24"/>
                <w:highlight w:val="none"/>
                <w:lang w:val="en-US" w:eastAsia="zh-CN"/>
              </w:rPr>
              <w:t>质性</w:t>
            </w:r>
            <w:r>
              <w:rPr>
                <w:rFonts w:hint="eastAsia" w:ascii="宋体" w:hAnsi="宋体" w:eastAsia="宋体" w:cs="宋体"/>
                <w:snapToGrid w:val="0"/>
                <w:color w:val="auto"/>
                <w:kern w:val="0"/>
                <w:sz w:val="24"/>
                <w:szCs w:val="24"/>
                <w:highlight w:val="none"/>
                <w:lang w:eastAsia="en-US"/>
              </w:rPr>
              <w:t>承诺及其他服务承诺</w:t>
            </w:r>
            <w:r>
              <w:rPr>
                <w:rFonts w:hint="eastAsia" w:ascii="宋体" w:hAnsi="宋体" w:eastAsia="宋体" w:cs="宋体"/>
                <w:snapToGrid w:val="0"/>
                <w:color w:val="auto"/>
                <w:kern w:val="0"/>
                <w:sz w:val="24"/>
                <w:szCs w:val="24"/>
                <w:highlight w:val="none"/>
                <w:lang w:val="en-US" w:eastAsia="zh-CN"/>
              </w:rPr>
              <w:t>比较后计分：</w:t>
            </w:r>
          </w:p>
          <w:p w14:paraId="76B34AF9">
            <w:pPr>
              <w:widowControl/>
              <w:kinsoku w:val="0"/>
              <w:autoSpaceDE w:val="0"/>
              <w:autoSpaceDN w:val="0"/>
              <w:adjustRightInd w:val="0"/>
              <w:snapToGrid w:val="0"/>
              <w:spacing w:line="240" w:lineRule="auto"/>
              <w:jc w:val="left"/>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1.优惠及服务承诺措施、</w:t>
            </w:r>
            <w:r>
              <w:rPr>
                <w:rFonts w:hint="eastAsia" w:ascii="宋体" w:hAnsi="宋体" w:eastAsia="宋体" w:cs="宋体"/>
                <w:snapToGrid w:val="0"/>
                <w:color w:val="auto"/>
                <w:kern w:val="0"/>
                <w:sz w:val="24"/>
                <w:szCs w:val="24"/>
                <w:highlight w:val="none"/>
                <w:lang w:eastAsia="en-US"/>
              </w:rPr>
              <w:t>实</w:t>
            </w:r>
            <w:r>
              <w:rPr>
                <w:rFonts w:hint="eastAsia" w:ascii="宋体" w:hAnsi="宋体" w:eastAsia="宋体" w:cs="宋体"/>
                <w:snapToGrid w:val="0"/>
                <w:color w:val="auto"/>
                <w:kern w:val="0"/>
                <w:sz w:val="24"/>
                <w:szCs w:val="24"/>
                <w:highlight w:val="none"/>
                <w:lang w:val="en-US" w:eastAsia="zh-CN"/>
              </w:rPr>
              <w:t>质性</w:t>
            </w:r>
            <w:r>
              <w:rPr>
                <w:rFonts w:hint="eastAsia" w:ascii="宋体" w:hAnsi="宋体" w:eastAsia="宋体" w:cs="宋体"/>
                <w:snapToGrid w:val="0"/>
                <w:color w:val="auto"/>
                <w:kern w:val="0"/>
                <w:sz w:val="24"/>
                <w:szCs w:val="24"/>
                <w:highlight w:val="none"/>
                <w:lang w:eastAsia="en-US"/>
              </w:rPr>
              <w:t>承诺及其他服务承诺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承诺力度大非常好的得3分。</w:t>
            </w:r>
          </w:p>
          <w:p w14:paraId="3B307FF3">
            <w:pPr>
              <w:widowControl/>
              <w:kinsoku w:val="0"/>
              <w:autoSpaceDE w:val="0"/>
              <w:autoSpaceDN w:val="0"/>
              <w:adjustRightInd w:val="0"/>
              <w:snapToGrid w:val="0"/>
              <w:spacing w:line="240" w:lineRule="auto"/>
              <w:jc w:val="left"/>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2.优惠及服务承诺措施、</w:t>
            </w:r>
            <w:r>
              <w:rPr>
                <w:rFonts w:hint="eastAsia" w:ascii="宋体" w:hAnsi="宋体" w:eastAsia="宋体" w:cs="宋体"/>
                <w:snapToGrid w:val="0"/>
                <w:color w:val="auto"/>
                <w:kern w:val="0"/>
                <w:sz w:val="24"/>
                <w:szCs w:val="24"/>
                <w:highlight w:val="none"/>
                <w:lang w:eastAsia="en-US"/>
              </w:rPr>
              <w:t>实</w:t>
            </w:r>
            <w:r>
              <w:rPr>
                <w:rFonts w:hint="eastAsia" w:ascii="宋体" w:hAnsi="宋体" w:eastAsia="宋体" w:cs="宋体"/>
                <w:snapToGrid w:val="0"/>
                <w:color w:val="auto"/>
                <w:kern w:val="0"/>
                <w:sz w:val="24"/>
                <w:szCs w:val="24"/>
                <w:highlight w:val="none"/>
                <w:lang w:val="en-US" w:eastAsia="zh-CN"/>
              </w:rPr>
              <w:t>质性优惠力度一般</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承诺较好的得2分。</w:t>
            </w:r>
          </w:p>
          <w:p w14:paraId="6345CE99">
            <w:pPr>
              <w:widowControl/>
              <w:kinsoku w:val="0"/>
              <w:autoSpaceDE w:val="0"/>
              <w:autoSpaceDN w:val="0"/>
              <w:adjustRightInd w:val="0"/>
              <w:snapToGrid w:val="0"/>
              <w:spacing w:line="240" w:lineRule="auto"/>
              <w:jc w:val="left"/>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3.优惠及服务承诺措施承诺力度小的得1分。</w:t>
            </w:r>
          </w:p>
          <w:p w14:paraId="1E229793">
            <w:pPr>
              <w:rPr>
                <w:rFonts w:ascii="宋体" w:hAnsi="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eastAsia="en-US"/>
              </w:rPr>
              <w:t>缺项0分。</w:t>
            </w:r>
            <w:bookmarkEnd w:id="27"/>
          </w:p>
        </w:tc>
      </w:tr>
      <w:tr w14:paraId="1635C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88" w:type="dxa"/>
            <w:vMerge w:val="continue"/>
            <w:tcBorders>
              <w:tl2br w:val="nil"/>
              <w:tr2bl w:val="nil"/>
            </w:tcBorders>
            <w:vAlign w:val="center"/>
          </w:tcPr>
          <w:p w14:paraId="29BCFF05">
            <w:pPr>
              <w:rPr>
                <w:rFonts w:ascii="宋体" w:hAnsi="宋体" w:cs="宋体"/>
                <w:sz w:val="24"/>
                <w:szCs w:val="24"/>
                <w:highlight w:val="none"/>
              </w:rPr>
            </w:pPr>
          </w:p>
        </w:tc>
        <w:tc>
          <w:tcPr>
            <w:tcW w:w="1657" w:type="dxa"/>
            <w:tcBorders>
              <w:tl2br w:val="nil"/>
              <w:tr2bl w:val="nil"/>
            </w:tcBorders>
            <w:shd w:val="clear" w:color="auto" w:fill="auto"/>
            <w:vAlign w:val="center"/>
          </w:tcPr>
          <w:p w14:paraId="0B219DD1">
            <w:pPr>
              <w:spacing w:line="44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综合评议</w:t>
            </w:r>
          </w:p>
          <w:p w14:paraId="48278A9D">
            <w:pPr>
              <w:spacing w:line="4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（2分）</w:t>
            </w:r>
          </w:p>
        </w:tc>
        <w:tc>
          <w:tcPr>
            <w:tcW w:w="5954" w:type="dxa"/>
            <w:tcBorders>
              <w:tl2br w:val="nil"/>
              <w:tr2bl w:val="nil"/>
            </w:tcBorders>
            <w:shd w:val="clear" w:color="auto" w:fill="auto"/>
            <w:vAlign w:val="center"/>
          </w:tcPr>
          <w:p w14:paraId="15601145">
            <w:pPr>
              <w:widowControl/>
              <w:kinsoku w:val="0"/>
              <w:autoSpaceDE w:val="0"/>
              <w:autoSpaceDN w:val="0"/>
              <w:adjustRightInd w:val="0"/>
              <w:snapToGrid w:val="0"/>
              <w:spacing w:line="240" w:lineRule="auto"/>
              <w:jc w:val="left"/>
              <w:textAlignment w:val="baseline"/>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1.根据应答文件的对应性完整、规范性完整、书写规范排版整洁度优秀，条理完整性、证件图片等清晰、内容全面得2分。</w:t>
            </w:r>
          </w:p>
          <w:p w14:paraId="07109F14">
            <w:pPr>
              <w:widowControl/>
              <w:kinsoku w:val="0"/>
              <w:autoSpaceDE w:val="0"/>
              <w:autoSpaceDN w:val="0"/>
              <w:adjustRightInd w:val="0"/>
              <w:snapToGrid w:val="0"/>
              <w:spacing w:line="240" w:lineRule="auto"/>
              <w:jc w:val="left"/>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2.根据应答文件的对应性完整、规范性完整、书写规范排版整洁度一般，条理完整性、证件图片等清晰、内容不够详实得1分。</w:t>
            </w:r>
          </w:p>
          <w:p w14:paraId="28900AAF">
            <w:pPr>
              <w:spacing w:line="440" w:lineRule="exact"/>
              <w:rPr>
                <w:rFonts w:ascii="宋体" w:hAnsi="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3.根据应答文件的对应性杂乱、书写不规范排版整洁度较差，证件图片等模糊、内容对本项目实施无关较多得0.5分。</w:t>
            </w:r>
          </w:p>
        </w:tc>
      </w:tr>
      <w:tr w14:paraId="00A9F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88" w:type="dxa"/>
            <w:vMerge w:val="restart"/>
            <w:tcBorders>
              <w:tl2br w:val="nil"/>
              <w:tr2bl w:val="nil"/>
            </w:tcBorders>
            <w:vAlign w:val="center"/>
          </w:tcPr>
          <w:p w14:paraId="0AD41F82">
            <w:pPr>
              <w:rPr>
                <w:rFonts w:ascii="宋体" w:hAnsi="宋体" w:cs="宋体"/>
                <w:sz w:val="24"/>
                <w:szCs w:val="24"/>
                <w:highlight w:val="none"/>
              </w:rPr>
            </w:pPr>
            <w:r>
              <w:rPr>
                <w:rFonts w:hint="eastAsia" w:ascii="宋体" w:hAnsi="宋体" w:cs="宋体"/>
                <w:sz w:val="24"/>
                <w:szCs w:val="24"/>
                <w:highlight w:val="none"/>
              </w:rPr>
              <w:t>商务部分</w:t>
            </w:r>
          </w:p>
          <w:p w14:paraId="217357A7">
            <w:pPr>
              <w:rPr>
                <w:rFonts w:ascii="宋体" w:hAnsi="宋体" w:cs="宋体"/>
                <w:sz w:val="24"/>
                <w:szCs w:val="24"/>
                <w:highlight w:val="none"/>
              </w:rPr>
            </w:pPr>
            <w:r>
              <w:rPr>
                <w:rFonts w:hint="eastAsia" w:ascii="宋体" w:hAnsi="宋体" w:cs="宋体"/>
                <w:sz w:val="24"/>
                <w:szCs w:val="24"/>
                <w:highlight w:val="none"/>
              </w:rPr>
              <w:t>（40分）</w:t>
            </w:r>
          </w:p>
        </w:tc>
        <w:tc>
          <w:tcPr>
            <w:tcW w:w="1657" w:type="dxa"/>
            <w:tcBorders>
              <w:tl2br w:val="nil"/>
              <w:tr2bl w:val="nil"/>
            </w:tcBorders>
            <w:vAlign w:val="center"/>
          </w:tcPr>
          <w:p w14:paraId="38234195">
            <w:pPr>
              <w:rPr>
                <w:rFonts w:ascii="宋体" w:hAnsi="宋体" w:cs="宋体"/>
                <w:sz w:val="24"/>
                <w:szCs w:val="24"/>
                <w:highlight w:val="none"/>
              </w:rPr>
            </w:pPr>
            <w:r>
              <w:rPr>
                <w:rFonts w:hint="eastAsia" w:ascii="宋体" w:hAnsi="宋体" w:cs="宋体"/>
                <w:sz w:val="24"/>
                <w:szCs w:val="24"/>
                <w:highlight w:val="none"/>
              </w:rPr>
              <w:t>供货方案</w:t>
            </w:r>
          </w:p>
          <w:p w14:paraId="6704ADC9">
            <w:pPr>
              <w:rPr>
                <w:rFonts w:ascii="宋体" w:hAnsi="宋体" w:cs="宋体"/>
                <w:sz w:val="24"/>
                <w:szCs w:val="24"/>
                <w:highlight w:val="none"/>
              </w:rPr>
            </w:pPr>
            <w:r>
              <w:rPr>
                <w:rFonts w:hint="eastAsia" w:ascii="宋体" w:hAnsi="宋体" w:cs="宋体"/>
                <w:sz w:val="24"/>
                <w:szCs w:val="24"/>
                <w:highlight w:val="none"/>
              </w:rPr>
              <w:t>（8分）</w:t>
            </w:r>
          </w:p>
        </w:tc>
        <w:tc>
          <w:tcPr>
            <w:tcW w:w="5954" w:type="dxa"/>
            <w:tcBorders>
              <w:tl2br w:val="nil"/>
              <w:tr2bl w:val="nil"/>
            </w:tcBorders>
            <w:vAlign w:val="center"/>
          </w:tcPr>
          <w:p w14:paraId="3CDEFFCD">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根据各投标单位提供的供货方案的供货方式、供货时间、供货保障、供货人员安排等合理性、全面性、具体可行性、措施保障比较后计分：</w:t>
            </w:r>
          </w:p>
          <w:p w14:paraId="0193D72D">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1.方案中对供货方式、供货时间、供货保障、供货人员安排等方案编写详尽、科学合理、逻辑清晰、可行性程度非常高的得8分。</w:t>
            </w:r>
          </w:p>
          <w:p w14:paraId="4335DB5B">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2.方案中对供货方式、供货时间、供货保障、供货人员安排等方案编写科学、逻辑清晰可行，能满足本项目采购需求的得7分。</w:t>
            </w:r>
          </w:p>
          <w:p w14:paraId="305EBD68">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3.方案中对供货方式、供货时间、供货保障、供货人员安排等方案编写不太详尽、科学、逻辑不强，但方案可行、能满足本项目采购需求的得5分。</w:t>
            </w:r>
          </w:p>
          <w:p w14:paraId="03A59360">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4.方案中对供货方式、供货时间、供货保障、供货人员安排等方案编写内容不缺、但逻辑不强，后期完善后能满足本项目采购需求的得4分。</w:t>
            </w:r>
          </w:p>
          <w:p w14:paraId="1FA8FF55">
            <w:pPr>
              <w:widowControl/>
              <w:kinsoku w:val="0"/>
              <w:autoSpaceDE w:val="0"/>
              <w:autoSpaceDN w:val="0"/>
              <w:adjustRightInd w:val="0"/>
              <w:snapToGrid w:val="0"/>
              <w:jc w:val="left"/>
              <w:textAlignment w:val="baseline"/>
              <w:rPr>
                <w:sz w:val="24"/>
                <w:szCs w:val="24"/>
                <w:highlight w:val="none"/>
              </w:rPr>
            </w:pPr>
            <w:r>
              <w:rPr>
                <w:rFonts w:hint="eastAsia" w:ascii="宋体" w:hAnsi="宋体" w:cs="宋体"/>
                <w:snapToGrid w:val="0"/>
                <w:kern w:val="0"/>
                <w:sz w:val="24"/>
                <w:szCs w:val="24"/>
                <w:highlight w:val="none"/>
              </w:rPr>
              <w:t>5.方案中对供货方式、供货时间、供货保障、供货人员安排等方案编写内容部分有缺失、逻辑不强，不能很好的满足本项目采购需求的得3分。</w:t>
            </w:r>
          </w:p>
          <w:p w14:paraId="2D7986E6">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6.方案措施不全面的得1分。</w:t>
            </w:r>
          </w:p>
          <w:p w14:paraId="19515BC8">
            <w:pPr>
              <w:rPr>
                <w:rFonts w:ascii="宋体" w:hAnsi="宋体" w:cs="宋体"/>
                <w:sz w:val="24"/>
                <w:szCs w:val="24"/>
                <w:highlight w:val="none"/>
              </w:rPr>
            </w:pPr>
            <w:r>
              <w:rPr>
                <w:rFonts w:hint="eastAsia" w:ascii="宋体" w:hAnsi="宋体" w:cs="宋体"/>
                <w:snapToGrid w:val="0"/>
                <w:kern w:val="0"/>
                <w:sz w:val="24"/>
                <w:szCs w:val="24"/>
                <w:highlight w:val="none"/>
              </w:rPr>
              <w:t>7.</w:t>
            </w:r>
            <w:r>
              <w:rPr>
                <w:rFonts w:hint="eastAsia" w:ascii="宋体" w:hAnsi="宋体" w:cs="宋体"/>
                <w:snapToGrid w:val="0"/>
                <w:kern w:val="0"/>
                <w:sz w:val="24"/>
                <w:szCs w:val="24"/>
                <w:highlight w:val="none"/>
                <w:lang w:eastAsia="en-US"/>
              </w:rPr>
              <w:t>缺项0分。</w:t>
            </w:r>
          </w:p>
        </w:tc>
      </w:tr>
      <w:tr w14:paraId="78D5C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588" w:type="dxa"/>
            <w:vMerge w:val="continue"/>
            <w:tcBorders>
              <w:tl2br w:val="nil"/>
              <w:tr2bl w:val="nil"/>
            </w:tcBorders>
            <w:vAlign w:val="center"/>
          </w:tcPr>
          <w:p w14:paraId="19D95CFE">
            <w:pPr>
              <w:rPr>
                <w:rFonts w:ascii="宋体" w:hAnsi="宋体" w:cs="宋体"/>
                <w:sz w:val="24"/>
                <w:szCs w:val="24"/>
                <w:highlight w:val="none"/>
              </w:rPr>
            </w:pPr>
          </w:p>
        </w:tc>
        <w:tc>
          <w:tcPr>
            <w:tcW w:w="1657" w:type="dxa"/>
            <w:tcBorders>
              <w:tl2br w:val="nil"/>
              <w:tr2bl w:val="nil"/>
            </w:tcBorders>
            <w:vAlign w:val="center"/>
          </w:tcPr>
          <w:p w14:paraId="7E0BF2AF">
            <w:pPr>
              <w:rPr>
                <w:rFonts w:ascii="宋体" w:hAnsi="宋体" w:cs="宋体"/>
                <w:sz w:val="24"/>
                <w:szCs w:val="24"/>
                <w:highlight w:val="none"/>
              </w:rPr>
            </w:pPr>
            <w:r>
              <w:rPr>
                <w:rFonts w:hint="eastAsia" w:ascii="宋体" w:hAnsi="宋体" w:cs="宋体"/>
                <w:sz w:val="24"/>
                <w:szCs w:val="24"/>
                <w:highlight w:val="none"/>
              </w:rPr>
              <w:t>安装、验收、调试方案</w:t>
            </w:r>
          </w:p>
          <w:p w14:paraId="583009AC">
            <w:pPr>
              <w:rPr>
                <w:rFonts w:ascii="宋体" w:hAnsi="宋体" w:cs="宋体"/>
                <w:sz w:val="24"/>
                <w:szCs w:val="24"/>
                <w:highlight w:val="none"/>
              </w:rPr>
            </w:pPr>
            <w:r>
              <w:rPr>
                <w:rFonts w:hint="eastAsia" w:ascii="宋体" w:hAnsi="宋体" w:cs="宋体"/>
                <w:sz w:val="24"/>
                <w:szCs w:val="24"/>
                <w:highlight w:val="none"/>
              </w:rPr>
              <w:t>（8分）</w:t>
            </w:r>
          </w:p>
        </w:tc>
        <w:tc>
          <w:tcPr>
            <w:tcW w:w="5954" w:type="dxa"/>
            <w:tcBorders>
              <w:tl2br w:val="nil"/>
              <w:tr2bl w:val="nil"/>
            </w:tcBorders>
            <w:vAlign w:val="center"/>
          </w:tcPr>
          <w:p w14:paraId="5CEC8A36">
            <w:pPr>
              <w:spacing w:line="360" w:lineRule="exact"/>
              <w:jc w:val="left"/>
              <w:rPr>
                <w:rFonts w:ascii="宋体" w:hAnsi="宋体" w:cs="宋体"/>
                <w:snapToGrid w:val="0"/>
                <w:kern w:val="0"/>
                <w:sz w:val="24"/>
                <w:szCs w:val="24"/>
                <w:highlight w:val="none"/>
              </w:rPr>
            </w:pPr>
            <w:bookmarkStart w:id="28" w:name="OLE_LINK12"/>
            <w:r>
              <w:rPr>
                <w:rFonts w:hint="eastAsia" w:ascii="宋体" w:hAnsi="宋体" w:cs="宋体"/>
                <w:snapToGrid w:val="0"/>
                <w:kern w:val="0"/>
                <w:sz w:val="24"/>
                <w:szCs w:val="24"/>
                <w:highlight w:val="none"/>
              </w:rPr>
              <w:t>根据各投标单位提供的安装人员投入情况及安装时间计划、验收人员投入及时间计划、调试人员投入及时间计划、各阶段工具配备的合理性、优越性、可行性比较后计分：</w:t>
            </w:r>
          </w:p>
          <w:p w14:paraId="57EDE59D">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1.具有安装人员投入情况及安装时间计划、验收人员投入及时间计划、调试人员投入及时间计划、各阶段工具配备等编制详尽、科学合理、逻辑清晰、措施得当、可行性程度非常高的得8分。</w:t>
            </w:r>
          </w:p>
          <w:p w14:paraId="35EE6903">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2.具有安装人员投入情况及安装时间计划、验收人员投入及时间计划、调试人员投入及时间计划、各阶段工具配备等编制科学合理、逻辑清晰、措施得当、可行性的得7分。</w:t>
            </w:r>
          </w:p>
          <w:p w14:paraId="2CE47F9F">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3.具有安装人员投入情况及安装时间计划、验收人员投入及时间计划、调试人员投入及时间计划、各阶段工具配备等编写不太详尽、科学、逻辑不强，但方案可行、能满足本项目采购需求的得5分。</w:t>
            </w:r>
          </w:p>
          <w:p w14:paraId="24C99304">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4.具有安装人员投入情况及安装时间计划、验收人员投入及时间计划、调试人员投入及时间计划、各阶段工具配备等编写内容不缺、但逻辑不强，后期完善后能满足本项目采购需求的得4分。</w:t>
            </w:r>
          </w:p>
          <w:p w14:paraId="20BA41ED">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5.具有安装人员投入情况及安装时间计划、验收人员投入及时间计划、调试人员投入及时间计划、各阶段工具配备等编写部分有缺失、逻辑不强，不能很好的满足本项目采购需求的得3分。</w:t>
            </w:r>
          </w:p>
          <w:p w14:paraId="32C0C8F0">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6.方案措施不全面的得1分。</w:t>
            </w:r>
          </w:p>
          <w:p w14:paraId="27EA70ED">
            <w:pPr>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7.</w:t>
            </w:r>
            <w:r>
              <w:rPr>
                <w:rFonts w:hint="eastAsia" w:ascii="宋体" w:hAnsi="宋体" w:cs="宋体"/>
                <w:snapToGrid w:val="0"/>
                <w:kern w:val="0"/>
                <w:sz w:val="24"/>
                <w:szCs w:val="24"/>
                <w:highlight w:val="none"/>
                <w:lang w:eastAsia="en-US"/>
              </w:rPr>
              <w:t>缺项0分。</w:t>
            </w:r>
            <w:bookmarkEnd w:id="28"/>
          </w:p>
        </w:tc>
      </w:tr>
      <w:tr w14:paraId="0B359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588" w:type="dxa"/>
            <w:vMerge w:val="continue"/>
            <w:tcBorders>
              <w:tl2br w:val="nil"/>
              <w:tr2bl w:val="nil"/>
            </w:tcBorders>
            <w:vAlign w:val="center"/>
          </w:tcPr>
          <w:p w14:paraId="40F72F32">
            <w:pPr>
              <w:rPr>
                <w:rFonts w:ascii="宋体" w:hAnsi="宋体" w:cs="宋体"/>
                <w:sz w:val="24"/>
                <w:szCs w:val="24"/>
                <w:highlight w:val="none"/>
              </w:rPr>
            </w:pPr>
          </w:p>
        </w:tc>
        <w:tc>
          <w:tcPr>
            <w:tcW w:w="1657" w:type="dxa"/>
            <w:tcBorders>
              <w:tl2br w:val="nil"/>
              <w:tr2bl w:val="nil"/>
            </w:tcBorders>
            <w:vAlign w:val="center"/>
          </w:tcPr>
          <w:p w14:paraId="096BC1B5">
            <w:pPr>
              <w:rPr>
                <w:rFonts w:ascii="宋体" w:hAnsi="宋体" w:cs="宋体"/>
                <w:sz w:val="24"/>
                <w:szCs w:val="24"/>
                <w:highlight w:val="none"/>
              </w:rPr>
            </w:pPr>
            <w:r>
              <w:rPr>
                <w:rFonts w:hint="eastAsia" w:ascii="宋体" w:hAnsi="宋体" w:cs="宋体"/>
                <w:sz w:val="24"/>
                <w:szCs w:val="24"/>
                <w:highlight w:val="none"/>
                <w:lang w:val="zh-CN"/>
              </w:rPr>
              <w:t>质量保证措施（</w:t>
            </w:r>
            <w:r>
              <w:rPr>
                <w:rFonts w:hint="eastAsia" w:ascii="宋体" w:hAnsi="宋体" w:cs="宋体"/>
                <w:sz w:val="24"/>
                <w:szCs w:val="24"/>
                <w:highlight w:val="none"/>
              </w:rPr>
              <w:t>8分</w:t>
            </w:r>
            <w:r>
              <w:rPr>
                <w:rFonts w:hint="eastAsia" w:ascii="宋体" w:hAnsi="宋体" w:cs="宋体"/>
                <w:sz w:val="24"/>
                <w:szCs w:val="24"/>
                <w:highlight w:val="none"/>
                <w:lang w:val="zh-CN"/>
              </w:rPr>
              <w:t>）</w:t>
            </w:r>
          </w:p>
        </w:tc>
        <w:tc>
          <w:tcPr>
            <w:tcW w:w="5954" w:type="dxa"/>
            <w:tcBorders>
              <w:tl2br w:val="nil"/>
              <w:tr2bl w:val="nil"/>
            </w:tcBorders>
            <w:vAlign w:val="center"/>
          </w:tcPr>
          <w:p w14:paraId="4D371106">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bookmarkStart w:id="29" w:name="OLE_LINK13"/>
            <w:r>
              <w:rPr>
                <w:rFonts w:hint="eastAsia" w:ascii="宋体" w:hAnsi="宋体" w:cs="宋体"/>
                <w:snapToGrid w:val="0"/>
                <w:kern w:val="0"/>
                <w:sz w:val="24"/>
                <w:szCs w:val="24"/>
                <w:highlight w:val="none"/>
              </w:rPr>
              <w:t>根据各投标单位提供的货物质量保证方案、货物质量保证措施、服务的质量保证方案、服务的质量保证措施、内容及方案的合理性、优越性、可行性比较后计分：</w:t>
            </w:r>
          </w:p>
          <w:p w14:paraId="1D88957F">
            <w:pPr>
              <w:spacing w:line="360" w:lineRule="exact"/>
              <w:jc w:val="left"/>
              <w:rPr>
                <w:rFonts w:ascii="宋体" w:hAnsi="宋体" w:cs="宋体"/>
                <w:snapToGrid w:val="0"/>
                <w:kern w:val="0"/>
                <w:sz w:val="24"/>
                <w:szCs w:val="24"/>
                <w:highlight w:val="none"/>
              </w:rPr>
            </w:pPr>
            <w:r>
              <w:rPr>
                <w:rFonts w:hint="eastAsia" w:ascii="宋体" w:hAnsi="宋体" w:cs="宋体"/>
                <w:snapToGrid w:val="0"/>
                <w:sz w:val="24"/>
                <w:szCs w:val="24"/>
                <w:highlight w:val="none"/>
              </w:rPr>
              <w:t>1</w:t>
            </w:r>
            <w:r>
              <w:rPr>
                <w:rFonts w:hint="eastAsia" w:ascii="宋体" w:hAnsi="宋体" w:cs="宋体"/>
                <w:snapToGrid w:val="0"/>
                <w:kern w:val="0"/>
                <w:sz w:val="24"/>
                <w:szCs w:val="24"/>
                <w:highlight w:val="none"/>
              </w:rPr>
              <w:t>.货物质量保证方案、货物质量保证措施、服务的质量保证方案、服务的质量保证措施得8分。</w:t>
            </w:r>
          </w:p>
          <w:p w14:paraId="4DEF5718">
            <w:pPr>
              <w:spacing w:line="360" w:lineRule="exact"/>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2.货物质量保证方案、货物质量保证措施、服务的质量保证方案得7分。</w:t>
            </w:r>
          </w:p>
          <w:p w14:paraId="491F16A6">
            <w:pPr>
              <w:spacing w:line="360" w:lineRule="exact"/>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3.货物质量保证方案、货物质量保证措施得5分。</w:t>
            </w:r>
          </w:p>
          <w:p w14:paraId="49182FF3">
            <w:pPr>
              <w:spacing w:line="360" w:lineRule="exact"/>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4.货物质量保证方案得3分。</w:t>
            </w:r>
          </w:p>
          <w:p w14:paraId="5093635B">
            <w:pPr>
              <w:widowControl/>
              <w:kinsoku w:val="0"/>
              <w:autoSpaceDE w:val="0"/>
              <w:autoSpaceDN w:val="0"/>
              <w:adjustRightInd w:val="0"/>
              <w:snapToGrid w:val="0"/>
              <w:spacing w:line="440" w:lineRule="exact"/>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5.货物质量保证措施得1分。</w:t>
            </w:r>
          </w:p>
          <w:p w14:paraId="7D05DA74">
            <w:pPr>
              <w:rPr>
                <w:rFonts w:ascii="宋体" w:hAnsi="宋体" w:cs="宋体"/>
                <w:sz w:val="24"/>
                <w:szCs w:val="24"/>
                <w:highlight w:val="none"/>
                <w:lang w:val="zh-CN"/>
              </w:rPr>
            </w:pPr>
            <w:r>
              <w:rPr>
                <w:rFonts w:hint="eastAsia" w:ascii="宋体" w:hAnsi="宋体" w:cs="宋体"/>
                <w:snapToGrid w:val="0"/>
                <w:kern w:val="0"/>
                <w:sz w:val="24"/>
                <w:szCs w:val="24"/>
                <w:highlight w:val="none"/>
              </w:rPr>
              <w:t>6.</w:t>
            </w:r>
            <w:r>
              <w:rPr>
                <w:rFonts w:hint="eastAsia" w:ascii="宋体" w:hAnsi="宋体" w:cs="宋体"/>
                <w:snapToGrid w:val="0"/>
                <w:kern w:val="0"/>
                <w:sz w:val="24"/>
                <w:szCs w:val="24"/>
                <w:highlight w:val="none"/>
                <w:lang w:eastAsia="en-US"/>
              </w:rPr>
              <w:t>缺项0分。</w:t>
            </w:r>
            <w:bookmarkEnd w:id="29"/>
          </w:p>
        </w:tc>
      </w:tr>
      <w:tr w14:paraId="5BC3C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1" w:hRule="atLeast"/>
          <w:jc w:val="center"/>
        </w:trPr>
        <w:tc>
          <w:tcPr>
            <w:tcW w:w="1588" w:type="dxa"/>
            <w:vMerge w:val="continue"/>
            <w:tcBorders>
              <w:tl2br w:val="nil"/>
              <w:tr2bl w:val="nil"/>
            </w:tcBorders>
            <w:vAlign w:val="center"/>
          </w:tcPr>
          <w:p w14:paraId="4C14629A">
            <w:pPr>
              <w:rPr>
                <w:rFonts w:ascii="宋体" w:hAnsi="宋体" w:cs="宋体"/>
                <w:sz w:val="24"/>
                <w:szCs w:val="24"/>
                <w:highlight w:val="none"/>
              </w:rPr>
            </w:pPr>
          </w:p>
        </w:tc>
        <w:tc>
          <w:tcPr>
            <w:tcW w:w="1657" w:type="dxa"/>
            <w:tcBorders>
              <w:tl2br w:val="nil"/>
              <w:tr2bl w:val="nil"/>
            </w:tcBorders>
            <w:vAlign w:val="center"/>
          </w:tcPr>
          <w:p w14:paraId="77D86BF1">
            <w:pPr>
              <w:rPr>
                <w:rFonts w:ascii="宋体" w:hAnsi="宋体" w:cs="宋体"/>
                <w:sz w:val="24"/>
                <w:szCs w:val="24"/>
                <w:highlight w:val="none"/>
              </w:rPr>
            </w:pPr>
            <w:r>
              <w:rPr>
                <w:rFonts w:hint="eastAsia" w:ascii="宋体" w:hAnsi="宋体" w:cs="宋体"/>
                <w:sz w:val="24"/>
                <w:szCs w:val="24"/>
                <w:highlight w:val="none"/>
              </w:rPr>
              <w:t>培训方案</w:t>
            </w:r>
          </w:p>
          <w:p w14:paraId="27FA55DE">
            <w:pPr>
              <w:rPr>
                <w:rFonts w:ascii="宋体" w:hAnsi="宋体" w:cs="宋体"/>
                <w:sz w:val="24"/>
                <w:szCs w:val="24"/>
                <w:highlight w:val="none"/>
                <w:lang w:val="zh-CN"/>
              </w:rPr>
            </w:pPr>
            <w:r>
              <w:rPr>
                <w:rFonts w:hint="eastAsia" w:ascii="宋体" w:hAnsi="宋体" w:cs="宋体"/>
                <w:sz w:val="24"/>
                <w:szCs w:val="24"/>
                <w:highlight w:val="none"/>
              </w:rPr>
              <w:t>(8分)</w:t>
            </w:r>
          </w:p>
        </w:tc>
        <w:tc>
          <w:tcPr>
            <w:tcW w:w="5954" w:type="dxa"/>
            <w:tcBorders>
              <w:tl2br w:val="nil"/>
              <w:tr2bl w:val="nil"/>
            </w:tcBorders>
            <w:vAlign w:val="center"/>
          </w:tcPr>
          <w:p w14:paraId="257D63C6">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根据各投标单位提供的人员安全培训、人员操作培训、售后服务培训、运输安全培训、安装培训等方案，（结合人员组织情况、培训次数、培训天数、培训内容等）合理性、优越性、可行性比较后计分：</w:t>
            </w:r>
          </w:p>
          <w:p w14:paraId="3E73274A">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1.具有人员安全培训、人员操作培训、售后服务培训、运输安全培训、安装培训等方案，（结合人员组织情况、培训次数、培训天数、培训内容等）得8分。</w:t>
            </w:r>
          </w:p>
          <w:p w14:paraId="41B91C66">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2.具有人员安全培训、人员操作培训、售后服务培训、安装培训等方案，（结合人员组织情况、培训次数、培训天数、培训内容等）得7分。</w:t>
            </w:r>
          </w:p>
          <w:p w14:paraId="47A1C3ED">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3.具有人员安全培训、售后服务培训、安装培训等方案，（结合人员组织情况、培训次数、培训天数、培训内容等）得5分。</w:t>
            </w:r>
          </w:p>
          <w:p w14:paraId="2682B9D4">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4.具有人员安全培训、安装培训等方案，（结合人员组织情况、培训次数、培训天数、培训内容等）得3分。</w:t>
            </w:r>
          </w:p>
          <w:p w14:paraId="6B9397F6">
            <w:pPr>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5.人员培训等方案不全面的得1分。</w:t>
            </w:r>
          </w:p>
          <w:p w14:paraId="1C75A774">
            <w:pPr>
              <w:rPr>
                <w:rFonts w:ascii="宋体" w:hAnsi="宋体" w:cs="宋体"/>
                <w:sz w:val="24"/>
                <w:szCs w:val="24"/>
                <w:highlight w:val="none"/>
                <w:lang w:val="zh-CN"/>
              </w:rPr>
            </w:pPr>
            <w:r>
              <w:rPr>
                <w:rFonts w:hint="eastAsia" w:ascii="宋体" w:hAnsi="宋体" w:cs="宋体"/>
                <w:snapToGrid w:val="0"/>
                <w:kern w:val="0"/>
                <w:sz w:val="24"/>
                <w:szCs w:val="24"/>
                <w:highlight w:val="none"/>
              </w:rPr>
              <w:t>6.</w:t>
            </w:r>
            <w:r>
              <w:rPr>
                <w:rFonts w:hint="eastAsia" w:ascii="宋体" w:hAnsi="宋体" w:cs="宋体"/>
                <w:snapToGrid w:val="0"/>
                <w:kern w:val="0"/>
                <w:sz w:val="24"/>
                <w:szCs w:val="24"/>
                <w:highlight w:val="none"/>
                <w:lang w:eastAsia="en-US"/>
              </w:rPr>
              <w:t>缺项0分。</w:t>
            </w:r>
          </w:p>
        </w:tc>
      </w:tr>
      <w:tr w14:paraId="40C04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588" w:type="dxa"/>
            <w:vMerge w:val="continue"/>
            <w:tcBorders>
              <w:tl2br w:val="nil"/>
              <w:tr2bl w:val="nil"/>
            </w:tcBorders>
            <w:vAlign w:val="center"/>
          </w:tcPr>
          <w:p w14:paraId="0929AC21">
            <w:pPr>
              <w:rPr>
                <w:rFonts w:ascii="宋体" w:hAnsi="宋体" w:cs="宋体"/>
                <w:sz w:val="24"/>
                <w:szCs w:val="24"/>
                <w:highlight w:val="none"/>
              </w:rPr>
            </w:pPr>
          </w:p>
        </w:tc>
        <w:tc>
          <w:tcPr>
            <w:tcW w:w="1657" w:type="dxa"/>
            <w:tcBorders>
              <w:tl2br w:val="nil"/>
              <w:tr2bl w:val="nil"/>
            </w:tcBorders>
            <w:vAlign w:val="center"/>
          </w:tcPr>
          <w:p w14:paraId="5F8AB638">
            <w:pPr>
              <w:rPr>
                <w:rFonts w:ascii="宋体" w:hAnsi="宋体" w:cs="宋体"/>
                <w:sz w:val="24"/>
                <w:szCs w:val="24"/>
                <w:highlight w:val="none"/>
              </w:rPr>
            </w:pPr>
            <w:r>
              <w:rPr>
                <w:rFonts w:hint="eastAsia" w:ascii="宋体" w:hAnsi="宋体" w:cs="宋体"/>
                <w:sz w:val="24"/>
                <w:szCs w:val="24"/>
                <w:highlight w:val="none"/>
              </w:rPr>
              <w:t>售后服务方案（8分）</w:t>
            </w:r>
          </w:p>
        </w:tc>
        <w:tc>
          <w:tcPr>
            <w:tcW w:w="5954" w:type="dxa"/>
            <w:tcBorders>
              <w:tl2br w:val="nil"/>
              <w:tr2bl w:val="nil"/>
            </w:tcBorders>
            <w:vAlign w:val="center"/>
          </w:tcPr>
          <w:p w14:paraId="72DAD25C">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根据售后服务措施、售后质保期内外方案，（包括但不限于应急措施、人员保障、响应时间、维修备品备件等）可行性比较后计分：</w:t>
            </w:r>
          </w:p>
          <w:p w14:paraId="501F3BDD">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1.售后服务措施、售后质保期内外方案，（包括但不限于应急措施、人员保障、响应时间、维修备品备件等）方案得8分。</w:t>
            </w:r>
          </w:p>
          <w:p w14:paraId="15C0B118">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2.售后服务措施、售后质保期内外方案，（包括但不限于应急措施、人员保障、响应时间等）方案得7分。</w:t>
            </w:r>
          </w:p>
          <w:p w14:paraId="485BE00E">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3.售后服务措施、售后质保期内外方案，（包括但不限于应急措施、人员保障等）方案得5分。</w:t>
            </w:r>
          </w:p>
          <w:p w14:paraId="767FB512">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4.售后服务措施、售后质保期内外方案，（包括但不限于应急措施等）方案的得3分。</w:t>
            </w:r>
          </w:p>
          <w:p w14:paraId="15051159">
            <w:pPr>
              <w:widowControl/>
              <w:kinsoku w:val="0"/>
              <w:autoSpaceDE w:val="0"/>
              <w:autoSpaceDN w:val="0"/>
              <w:adjustRightInd w:val="0"/>
              <w:snapToGrid w:val="0"/>
              <w:jc w:val="left"/>
              <w:textAlignment w:val="baseline"/>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5.售后服务措施不全面得1分。</w:t>
            </w:r>
          </w:p>
          <w:p w14:paraId="1B3B3D62">
            <w:pPr>
              <w:rPr>
                <w:rFonts w:ascii="宋体" w:hAnsi="宋体" w:cs="宋体"/>
                <w:sz w:val="24"/>
                <w:szCs w:val="24"/>
                <w:highlight w:val="none"/>
                <w:lang w:val="zh-CN"/>
              </w:rPr>
            </w:pPr>
            <w:r>
              <w:rPr>
                <w:rFonts w:hint="eastAsia" w:ascii="宋体" w:hAnsi="宋体" w:cs="宋体"/>
                <w:snapToGrid w:val="0"/>
                <w:kern w:val="0"/>
                <w:sz w:val="24"/>
                <w:szCs w:val="24"/>
                <w:highlight w:val="none"/>
              </w:rPr>
              <w:t>6.</w:t>
            </w:r>
            <w:r>
              <w:rPr>
                <w:rFonts w:hint="eastAsia" w:ascii="宋体" w:hAnsi="宋体" w:cs="宋体"/>
                <w:snapToGrid w:val="0"/>
                <w:kern w:val="0"/>
                <w:sz w:val="24"/>
                <w:szCs w:val="24"/>
                <w:highlight w:val="none"/>
                <w:lang w:eastAsia="en-US"/>
              </w:rPr>
              <w:t>缺项0分。</w:t>
            </w:r>
          </w:p>
          <w:bookmarkEnd w:id="26"/>
        </w:tc>
      </w:tr>
      <w:tr w14:paraId="68592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9199" w:type="dxa"/>
            <w:gridSpan w:val="3"/>
            <w:tcBorders>
              <w:tl2br w:val="nil"/>
              <w:tr2bl w:val="nil"/>
            </w:tcBorders>
            <w:vAlign w:val="center"/>
          </w:tcPr>
          <w:p w14:paraId="0AEE34E0">
            <w:pPr>
              <w:rPr>
                <w:rFonts w:ascii="宋体" w:hAnsi="宋体" w:cs="宋体"/>
                <w:sz w:val="24"/>
                <w:szCs w:val="24"/>
                <w:highlight w:val="none"/>
              </w:rPr>
            </w:pPr>
            <w:r>
              <w:rPr>
                <w:rFonts w:hint="eastAsia" w:ascii="宋体" w:hAnsi="宋体" w:cs="宋体"/>
                <w:b/>
                <w:bCs/>
                <w:sz w:val="24"/>
                <w:szCs w:val="24"/>
                <w:highlight w:val="none"/>
              </w:rPr>
              <w:t>注：标</w:t>
            </w:r>
            <w:r>
              <w:rPr>
                <w:rFonts w:hint="eastAsia" w:ascii="宋体" w:hAnsi="宋体" w:cs="宋体"/>
                <w:b/>
                <w:bCs/>
                <w:kern w:val="0"/>
                <w:sz w:val="24"/>
                <w:szCs w:val="24"/>
                <w:highlight w:val="none"/>
              </w:rPr>
              <w:t>●</w:t>
            </w:r>
            <w:r>
              <w:rPr>
                <w:rFonts w:hint="eastAsia" w:ascii="宋体" w:hAnsi="宋体" w:cs="宋体"/>
                <w:b/>
                <w:bCs/>
                <w:sz w:val="24"/>
                <w:szCs w:val="24"/>
                <w:highlight w:val="none"/>
              </w:rPr>
              <w:t>核心产品同一品牌的，推荐一家得分最高的为中标候选人。</w:t>
            </w:r>
          </w:p>
        </w:tc>
      </w:tr>
    </w:tbl>
    <w:p w14:paraId="3466AE68">
      <w:pPr>
        <w:rPr>
          <w:rFonts w:ascii="宋体" w:hAnsi="宋体" w:cs="宋体"/>
          <w:b/>
          <w:bCs/>
          <w:szCs w:val="21"/>
          <w:highlight w:val="none"/>
        </w:rPr>
      </w:pPr>
      <w:r>
        <w:rPr>
          <w:rFonts w:hint="eastAsia" w:ascii="宋体" w:hAnsi="宋体" w:cs="宋体"/>
          <w:b/>
          <w:bCs/>
          <w:szCs w:val="21"/>
          <w:highlight w:val="none"/>
        </w:rPr>
        <w:br w:type="page"/>
      </w:r>
    </w:p>
    <w:p w14:paraId="1D40FB76">
      <w:pPr>
        <w:pStyle w:val="13"/>
        <w:tabs>
          <w:tab w:val="left" w:pos="704"/>
        </w:tabs>
        <w:spacing w:line="440" w:lineRule="exact"/>
        <w:ind w:left="0" w:firstLine="0"/>
        <w:rPr>
          <w:sz w:val="28"/>
          <w:szCs w:val="28"/>
          <w:highlight w:val="none"/>
          <w:lang w:val="en-US"/>
        </w:rPr>
      </w:pPr>
      <w:r>
        <w:rPr>
          <w:rFonts w:hint="eastAsia"/>
          <w:sz w:val="28"/>
          <w:szCs w:val="28"/>
          <w:highlight w:val="none"/>
          <w:lang w:val="en-US"/>
        </w:rPr>
        <w:t>1.评标方法</w:t>
      </w:r>
    </w:p>
    <w:p w14:paraId="3CA60AE0">
      <w:pPr>
        <w:pStyle w:val="3"/>
        <w:adjustRightInd w:val="0"/>
        <w:snapToGrid w:val="0"/>
        <w:spacing w:line="440" w:lineRule="exact"/>
        <w:ind w:firstLine="396" w:firstLineChars="200"/>
        <w:rPr>
          <w:spacing w:val="-6"/>
          <w:highlight w:val="none"/>
        </w:rPr>
      </w:pPr>
      <w:r>
        <w:rPr>
          <w:rFonts w:hint="eastAsia"/>
          <w:spacing w:val="-6"/>
          <w:highlight w:val="none"/>
        </w:rPr>
        <w:t>本次评</w:t>
      </w:r>
      <w:r>
        <w:rPr>
          <w:rFonts w:hint="eastAsia"/>
          <w:highlight w:val="none"/>
        </w:rPr>
        <w:t>标采用综合评估</w:t>
      </w:r>
      <w:r>
        <w:rPr>
          <w:rFonts w:hint="eastAsia"/>
          <w:spacing w:val="-6"/>
          <w:highlight w:val="none"/>
        </w:rPr>
        <w:t>法。评标委员会对满足招标文件实质性要求的投标文件，按照本章规定的评分标准进行打分，并按得分由高到低顺序推荐</w:t>
      </w:r>
      <w:r>
        <w:rPr>
          <w:rFonts w:hint="eastAsia"/>
          <w:spacing w:val="-6"/>
          <w:highlight w:val="none"/>
          <w:lang w:val="en-US"/>
        </w:rPr>
        <w:t>1-</w:t>
      </w:r>
      <w:r>
        <w:rPr>
          <w:rFonts w:hint="eastAsia"/>
          <w:spacing w:val="-6"/>
          <w:highlight w:val="none"/>
        </w:rPr>
        <w:t>3名中标候选人，但投标报价低于其成本的除外。综合评分相等时，按投标报价由低到高顺序排列；得分且投标报价相同的并列，投标文件满足招标文件全部实质性要求，且按照评审因素的量化指标评审得分最高的投标人为排名第一的中标候选人。</w:t>
      </w:r>
    </w:p>
    <w:p w14:paraId="0008FA69">
      <w:pPr>
        <w:pStyle w:val="13"/>
        <w:tabs>
          <w:tab w:val="left" w:pos="704"/>
        </w:tabs>
        <w:spacing w:line="440" w:lineRule="exact"/>
        <w:ind w:left="0" w:firstLine="0"/>
        <w:rPr>
          <w:sz w:val="28"/>
          <w:szCs w:val="28"/>
          <w:highlight w:val="none"/>
          <w:lang w:val="en-US"/>
        </w:rPr>
      </w:pPr>
      <w:r>
        <w:rPr>
          <w:rFonts w:hint="eastAsia"/>
          <w:sz w:val="28"/>
          <w:szCs w:val="28"/>
          <w:highlight w:val="none"/>
          <w:lang w:val="en-US"/>
        </w:rPr>
        <w:t>2.评审标准</w:t>
      </w:r>
    </w:p>
    <w:p w14:paraId="11241958">
      <w:pPr>
        <w:pStyle w:val="13"/>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2.1 </w:t>
      </w:r>
      <w:r>
        <w:rPr>
          <w:rFonts w:hint="eastAsia"/>
          <w:sz w:val="21"/>
          <w:szCs w:val="21"/>
          <w:highlight w:val="none"/>
        </w:rPr>
        <w:t>初步评审标准</w:t>
      </w:r>
    </w:p>
    <w:p w14:paraId="23F29F2D">
      <w:pPr>
        <w:pStyle w:val="31"/>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2.1.1</w:t>
      </w:r>
      <w:r>
        <w:rPr>
          <w:rFonts w:hint="eastAsia"/>
          <w:spacing w:val="-6"/>
          <w:sz w:val="21"/>
          <w:szCs w:val="21"/>
          <w:highlight w:val="none"/>
        </w:rPr>
        <w:t>形式评审标准：见评标办法前附表</w:t>
      </w:r>
    </w:p>
    <w:p w14:paraId="6E0A8B92">
      <w:pPr>
        <w:pStyle w:val="31"/>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2.1.2</w:t>
      </w:r>
      <w:r>
        <w:rPr>
          <w:rFonts w:hint="eastAsia"/>
          <w:spacing w:val="-6"/>
          <w:sz w:val="21"/>
          <w:szCs w:val="21"/>
          <w:highlight w:val="none"/>
        </w:rPr>
        <w:t>资格评审标准：见评标办法前附表</w:t>
      </w:r>
    </w:p>
    <w:p w14:paraId="2CE3F073">
      <w:pPr>
        <w:pStyle w:val="31"/>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2.1.3</w:t>
      </w:r>
      <w:r>
        <w:rPr>
          <w:rFonts w:hint="eastAsia"/>
          <w:spacing w:val="-6"/>
          <w:sz w:val="21"/>
          <w:szCs w:val="21"/>
          <w:highlight w:val="none"/>
        </w:rPr>
        <w:t>符合性评审标准：见评标办法前附表</w:t>
      </w:r>
    </w:p>
    <w:p w14:paraId="673D9A6C">
      <w:pPr>
        <w:pStyle w:val="13"/>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2.2 </w:t>
      </w:r>
      <w:r>
        <w:rPr>
          <w:rFonts w:hint="eastAsia"/>
          <w:sz w:val="21"/>
          <w:szCs w:val="21"/>
          <w:highlight w:val="none"/>
        </w:rPr>
        <w:t>分值构成与评分标准</w:t>
      </w:r>
    </w:p>
    <w:p w14:paraId="7D4D0728">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2.2.1</w:t>
      </w:r>
      <w:r>
        <w:rPr>
          <w:rFonts w:hint="eastAsia"/>
          <w:b w:val="0"/>
          <w:bCs w:val="0"/>
          <w:sz w:val="21"/>
          <w:szCs w:val="21"/>
          <w:highlight w:val="none"/>
        </w:rPr>
        <w:t>分值构成</w:t>
      </w:r>
    </w:p>
    <w:p w14:paraId="6E90A491">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1</w:t>
      </w:r>
      <w:r>
        <w:rPr>
          <w:rFonts w:hint="eastAsia"/>
          <w:b w:val="0"/>
          <w:bCs w:val="0"/>
          <w:sz w:val="21"/>
          <w:szCs w:val="21"/>
          <w:highlight w:val="none"/>
        </w:rPr>
        <w:t>）商务部分：见评标办法前附表</w:t>
      </w:r>
    </w:p>
    <w:p w14:paraId="47791309">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）技术部分：见评标办法前附表</w:t>
      </w:r>
    </w:p>
    <w:p w14:paraId="1A189EFD">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）综合部分：见评标办法前附表</w:t>
      </w:r>
    </w:p>
    <w:p w14:paraId="3717E16A">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2.2.2</w:t>
      </w:r>
      <w:r>
        <w:rPr>
          <w:rFonts w:hint="eastAsia"/>
          <w:b w:val="0"/>
          <w:bCs w:val="0"/>
          <w:sz w:val="21"/>
          <w:szCs w:val="21"/>
          <w:highlight w:val="none"/>
        </w:rPr>
        <w:t>评标基准价计算</w:t>
      </w:r>
    </w:p>
    <w:p w14:paraId="74C7B63F">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评标基准价计算方法：见评标办法前附表</w:t>
      </w:r>
    </w:p>
    <w:p w14:paraId="489A3238">
      <w:pPr>
        <w:pStyle w:val="13"/>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2.2.3</w:t>
      </w:r>
      <w:r>
        <w:rPr>
          <w:rFonts w:hint="eastAsia"/>
          <w:b w:val="0"/>
          <w:bCs w:val="0"/>
          <w:sz w:val="21"/>
          <w:szCs w:val="21"/>
          <w:highlight w:val="none"/>
        </w:rPr>
        <w:t>评分标准</w:t>
      </w:r>
    </w:p>
    <w:p w14:paraId="3BD9BE18">
      <w:pPr>
        <w:pStyle w:val="13"/>
        <w:numPr>
          <w:ilvl w:val="0"/>
          <w:numId w:val="11"/>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商务部分评分标准：见评标办法前附表</w:t>
      </w:r>
    </w:p>
    <w:p w14:paraId="6D53C4F3">
      <w:pPr>
        <w:pStyle w:val="13"/>
        <w:numPr>
          <w:ilvl w:val="0"/>
          <w:numId w:val="11"/>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技术部分评分标准：见评标办法前附表</w:t>
      </w:r>
    </w:p>
    <w:p w14:paraId="05C7F0F1">
      <w:pPr>
        <w:pStyle w:val="13"/>
        <w:numPr>
          <w:ilvl w:val="0"/>
          <w:numId w:val="11"/>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综合部分评分标准：见评标办法前附表</w:t>
      </w:r>
    </w:p>
    <w:p w14:paraId="68A0CADD">
      <w:pPr>
        <w:pStyle w:val="13"/>
        <w:tabs>
          <w:tab w:val="left" w:pos="704"/>
        </w:tabs>
        <w:spacing w:line="440" w:lineRule="exact"/>
        <w:ind w:left="0" w:firstLine="0"/>
        <w:rPr>
          <w:sz w:val="28"/>
          <w:szCs w:val="28"/>
          <w:highlight w:val="none"/>
          <w:lang w:val="en-US"/>
        </w:rPr>
      </w:pPr>
      <w:r>
        <w:rPr>
          <w:rFonts w:hint="eastAsia"/>
          <w:sz w:val="28"/>
          <w:szCs w:val="28"/>
          <w:highlight w:val="none"/>
          <w:lang w:val="en-US"/>
        </w:rPr>
        <w:t>3.评标程序</w:t>
      </w:r>
    </w:p>
    <w:p w14:paraId="0C482FB7">
      <w:pPr>
        <w:pStyle w:val="13"/>
        <w:tabs>
          <w:tab w:val="left" w:pos="911"/>
        </w:tabs>
        <w:adjustRightInd w:val="0"/>
        <w:snapToGrid w:val="0"/>
        <w:spacing w:line="420" w:lineRule="exact"/>
        <w:ind w:left="0" w:firstLine="422" w:firstLineChars="200"/>
        <w:rPr>
          <w:sz w:val="21"/>
          <w:szCs w:val="21"/>
          <w:highlight w:val="none"/>
        </w:rPr>
      </w:pPr>
      <w:r>
        <w:rPr>
          <w:rFonts w:hint="eastAsia"/>
          <w:sz w:val="21"/>
          <w:szCs w:val="21"/>
          <w:highlight w:val="none"/>
          <w:lang w:val="en-US"/>
        </w:rPr>
        <w:t xml:space="preserve">3.1 </w:t>
      </w:r>
      <w:r>
        <w:rPr>
          <w:rFonts w:hint="eastAsia"/>
          <w:sz w:val="21"/>
          <w:szCs w:val="21"/>
          <w:highlight w:val="none"/>
        </w:rPr>
        <w:t>初步评审</w:t>
      </w:r>
    </w:p>
    <w:p w14:paraId="2E3082A9">
      <w:pPr>
        <w:pStyle w:val="14"/>
        <w:tabs>
          <w:tab w:val="left" w:pos="911"/>
        </w:tabs>
        <w:adjustRightInd w:val="0"/>
        <w:snapToGrid w:val="0"/>
        <w:spacing w:before="0" w:line="420" w:lineRule="exact"/>
        <w:ind w:left="0" w:firstLine="420" w:firstLineChars="200"/>
        <w:rPr>
          <w:sz w:val="21"/>
          <w:szCs w:val="21"/>
          <w:highlight w:val="none"/>
        </w:rPr>
      </w:pPr>
      <w:r>
        <w:rPr>
          <w:rFonts w:hint="eastAsia"/>
          <w:sz w:val="21"/>
          <w:szCs w:val="21"/>
          <w:highlight w:val="none"/>
          <w:lang w:val="en-US"/>
        </w:rPr>
        <w:t>3.1.1</w:t>
      </w:r>
      <w:r>
        <w:rPr>
          <w:rFonts w:hint="eastAsia"/>
          <w:sz w:val="21"/>
          <w:szCs w:val="21"/>
          <w:highlight w:val="none"/>
        </w:rPr>
        <w:t>资格审查小组根据投标人提交的第二章“投标人须知前附表”规定的有关证明材料，审查其资格。评标委员会依据本章第2.1款初步评审标准中形式评审标准、符合性评审标准对投标文件进行评审，具体评审标准详见评标办法前附表，投标文件有一项不符合评审标准的，则不再进行下一步评审。</w:t>
      </w:r>
    </w:p>
    <w:p w14:paraId="7F3B5A54">
      <w:pPr>
        <w:pStyle w:val="31"/>
        <w:tabs>
          <w:tab w:val="left" w:pos="1435"/>
        </w:tabs>
        <w:adjustRightInd w:val="0"/>
        <w:snapToGrid w:val="0"/>
        <w:spacing w:line="420" w:lineRule="exact"/>
        <w:ind w:left="420" w:leftChars="200" w:firstLine="0"/>
        <w:rPr>
          <w:b/>
          <w:bCs/>
          <w:sz w:val="21"/>
          <w:szCs w:val="21"/>
          <w:highlight w:val="none"/>
          <w:lang w:val="en-US"/>
        </w:rPr>
      </w:pPr>
      <w:r>
        <w:rPr>
          <w:rFonts w:hint="eastAsia"/>
          <w:b/>
          <w:bCs/>
          <w:sz w:val="21"/>
          <w:szCs w:val="21"/>
          <w:highlight w:val="none"/>
          <w:lang w:val="en-US"/>
        </w:rPr>
        <w:t>3.1.2 参与同一个标段（包）的供应商存在下列情形之一的，投标文件无效：</w:t>
      </w:r>
    </w:p>
    <w:p w14:paraId="6A8FDAF8">
      <w:pPr>
        <w:pStyle w:val="31"/>
        <w:numPr>
          <w:ilvl w:val="0"/>
          <w:numId w:val="12"/>
        </w:numPr>
        <w:tabs>
          <w:tab w:val="left" w:pos="1435"/>
        </w:tabs>
        <w:adjustRightInd w:val="0"/>
        <w:snapToGrid w:val="0"/>
        <w:spacing w:line="420" w:lineRule="exact"/>
        <w:ind w:left="0" w:firstLine="422" w:firstLineChars="200"/>
        <w:rPr>
          <w:b/>
          <w:bCs/>
          <w:spacing w:val="-3"/>
          <w:sz w:val="21"/>
          <w:szCs w:val="21"/>
          <w:highlight w:val="none"/>
        </w:rPr>
      </w:pPr>
      <w:r>
        <w:rPr>
          <w:rFonts w:hint="eastAsia"/>
          <w:b/>
          <w:bCs/>
          <w:sz w:val="21"/>
          <w:szCs w:val="21"/>
          <w:highlight w:val="none"/>
        </w:rPr>
        <w:t>第二章“</w:t>
      </w:r>
      <w:r>
        <w:rPr>
          <w:rFonts w:hint="eastAsia"/>
          <w:b/>
          <w:bCs/>
          <w:sz w:val="21"/>
          <w:szCs w:val="21"/>
          <w:highlight w:val="none"/>
          <w:lang w:val="en-US"/>
        </w:rPr>
        <w:t>1 总则</w:t>
      </w:r>
      <w:r>
        <w:rPr>
          <w:rFonts w:hint="eastAsia"/>
          <w:b/>
          <w:bCs/>
          <w:sz w:val="21"/>
          <w:szCs w:val="21"/>
          <w:highlight w:val="none"/>
        </w:rPr>
        <w:t>”第1.4.</w:t>
      </w:r>
      <w:r>
        <w:rPr>
          <w:rFonts w:hint="eastAsia"/>
          <w:b/>
          <w:bCs/>
          <w:sz w:val="21"/>
          <w:szCs w:val="21"/>
          <w:highlight w:val="none"/>
          <w:lang w:val="en-US"/>
        </w:rPr>
        <w:t>2</w:t>
      </w:r>
      <w:r>
        <w:rPr>
          <w:rFonts w:hint="eastAsia"/>
          <w:b/>
          <w:bCs/>
          <w:sz w:val="21"/>
          <w:szCs w:val="21"/>
          <w:highlight w:val="none"/>
        </w:rPr>
        <w:t>项规定的任何一种情形的；</w:t>
      </w:r>
    </w:p>
    <w:p w14:paraId="30A73AFD">
      <w:pPr>
        <w:pStyle w:val="31"/>
        <w:numPr>
          <w:ilvl w:val="0"/>
          <w:numId w:val="12"/>
        </w:numPr>
        <w:tabs>
          <w:tab w:val="left" w:pos="1435"/>
        </w:tabs>
        <w:adjustRightInd w:val="0"/>
        <w:snapToGrid w:val="0"/>
        <w:spacing w:line="420" w:lineRule="exact"/>
        <w:ind w:left="0" w:firstLine="410" w:firstLineChars="200"/>
        <w:rPr>
          <w:b/>
          <w:bCs/>
          <w:spacing w:val="-3"/>
          <w:sz w:val="21"/>
          <w:szCs w:val="21"/>
          <w:highlight w:val="none"/>
        </w:rPr>
      </w:pPr>
      <w:r>
        <w:rPr>
          <w:rFonts w:hint="eastAsia"/>
          <w:b/>
          <w:bCs/>
          <w:spacing w:val="-3"/>
          <w:sz w:val="21"/>
          <w:szCs w:val="21"/>
          <w:highlight w:val="none"/>
        </w:rPr>
        <w:t>串通投标或弄虚作假或有其他违法行为的；</w:t>
      </w:r>
    </w:p>
    <w:p w14:paraId="46AFC547">
      <w:pPr>
        <w:pStyle w:val="31"/>
        <w:numPr>
          <w:ilvl w:val="0"/>
          <w:numId w:val="12"/>
        </w:numPr>
        <w:tabs>
          <w:tab w:val="left" w:pos="1435"/>
        </w:tabs>
        <w:adjustRightInd w:val="0"/>
        <w:snapToGrid w:val="0"/>
        <w:spacing w:line="420" w:lineRule="exact"/>
        <w:ind w:left="0" w:firstLine="422" w:firstLineChars="200"/>
        <w:rPr>
          <w:b/>
          <w:bCs/>
          <w:sz w:val="21"/>
          <w:szCs w:val="21"/>
          <w:highlight w:val="none"/>
        </w:rPr>
      </w:pPr>
      <w:r>
        <w:rPr>
          <w:rFonts w:hint="eastAsia"/>
          <w:b/>
          <w:bCs/>
          <w:sz w:val="21"/>
          <w:szCs w:val="21"/>
          <w:highlight w:val="none"/>
        </w:rPr>
        <w:t>投标文件（投标书）无投标人电子签章；</w:t>
      </w:r>
    </w:p>
    <w:p w14:paraId="35707326">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rPr>
        <w:t>投标人递交两份或多份内容不同的投标文件，或在一份投标文件中对同一招标项目报有两个或多个报价，且未声明哪一个有效的；</w:t>
      </w:r>
    </w:p>
    <w:p w14:paraId="0694ADA9">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不同供应商的电子投标文件上传计算机的网卡MAC地址、CPU序列号和硬盘序列号等硬件信息相同的；</w:t>
      </w:r>
    </w:p>
    <w:p w14:paraId="054B7086">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不同供应商的投标文件由同一电子设备编制、打印加密或者上传。</w:t>
      </w:r>
    </w:p>
    <w:p w14:paraId="24B8808B">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不同供应商的投标文件由同一电子设备打印、复印；</w:t>
      </w:r>
    </w:p>
    <w:p w14:paraId="08BCB200">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不同供应商联系人为同一人或不同联系人的联系电话一致的；</w:t>
      </w:r>
    </w:p>
    <w:p w14:paraId="401EA084">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不同供应商的投标文件的内容存在两处以上细节错误一致；</w:t>
      </w:r>
    </w:p>
    <w:p w14:paraId="07087771">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不同供应商的法定代表人、委托代理人、项目经理、项目负责人等由同一单位缴纳社会保险或者领取报酬的；</w:t>
      </w:r>
    </w:p>
    <w:p w14:paraId="0DD0BDA4">
      <w:pPr>
        <w:pStyle w:val="31"/>
        <w:numPr>
          <w:ilvl w:val="0"/>
          <w:numId w:val="12"/>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不同供应商投标文件中法定代表人或者负责人签字出自同一人之手；</w:t>
      </w:r>
    </w:p>
    <w:p w14:paraId="2555B27A">
      <w:pPr>
        <w:pStyle w:val="31"/>
        <w:numPr>
          <w:ilvl w:val="0"/>
          <w:numId w:val="12"/>
        </w:numPr>
        <w:tabs>
          <w:tab w:val="left" w:pos="1435"/>
        </w:tabs>
        <w:adjustRightInd w:val="0"/>
        <w:snapToGrid w:val="0"/>
        <w:spacing w:line="400" w:lineRule="exact"/>
        <w:ind w:left="0" w:firstLine="422" w:firstLineChars="200"/>
        <w:rPr>
          <w:b/>
          <w:bCs/>
          <w:sz w:val="21"/>
          <w:szCs w:val="21"/>
          <w:highlight w:val="none"/>
        </w:rPr>
      </w:pPr>
      <w:r>
        <w:rPr>
          <w:rFonts w:hint="eastAsia"/>
          <w:b/>
          <w:bCs/>
          <w:sz w:val="21"/>
          <w:szCs w:val="21"/>
          <w:highlight w:val="none"/>
        </w:rPr>
        <w:t>招标文件中规定的其他情形。</w:t>
      </w:r>
    </w:p>
    <w:p w14:paraId="14E89EE1">
      <w:pPr>
        <w:pStyle w:val="31"/>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lang w:val="en-US"/>
        </w:rPr>
        <w:t>3.1.3</w:t>
      </w:r>
      <w:r>
        <w:rPr>
          <w:rFonts w:hint="eastAsia"/>
          <w:sz w:val="21"/>
          <w:szCs w:val="21"/>
          <w:highlight w:val="none"/>
        </w:rPr>
        <w:t>投标报价有算术错误的，评标委员会按以下原则对投标报价进行修正，修正的价格经投标人书面确认后具有约束力。投标人不接受修正价格的，否决其投标。</w:t>
      </w:r>
    </w:p>
    <w:p w14:paraId="27EB4149">
      <w:pPr>
        <w:pStyle w:val="31"/>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1</w:t>
      </w:r>
      <w:r>
        <w:rPr>
          <w:rFonts w:hint="eastAsia"/>
          <w:sz w:val="21"/>
          <w:szCs w:val="21"/>
          <w:highlight w:val="none"/>
        </w:rPr>
        <w:t>）投标文件中开标一览表（报价表）内容与投标文件中相应内容不一致的，以开标一览表（报价表）为准。</w:t>
      </w:r>
    </w:p>
    <w:p w14:paraId="3C3E9405">
      <w:pPr>
        <w:pStyle w:val="13"/>
        <w:tabs>
          <w:tab w:val="left" w:pos="911"/>
        </w:tabs>
        <w:adjustRightInd w:val="0"/>
        <w:snapToGrid w:val="0"/>
        <w:spacing w:line="400" w:lineRule="exact"/>
        <w:ind w:left="420" w:leftChars="200" w:firstLine="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）投标文件中的大写金额与小写金额不一致的，以大写金额为准；</w:t>
      </w:r>
    </w:p>
    <w:p w14:paraId="637ED952">
      <w:pPr>
        <w:pStyle w:val="13"/>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）总价金额与按单价汇总金额不一致的，以单价金额计算结果为准。单价金额小数点或者百分比有明显错位的，以开标一览表（投标函）的总价为准，并修改单价。</w:t>
      </w:r>
    </w:p>
    <w:p w14:paraId="2B13F31F">
      <w:pPr>
        <w:pStyle w:val="13"/>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lang w:val="en-US"/>
        </w:rPr>
        <w:t>（4）如果分项报价</w:t>
      </w:r>
      <w:r>
        <w:rPr>
          <w:rFonts w:hint="eastAsia"/>
          <w:b w:val="0"/>
          <w:bCs w:val="0"/>
          <w:spacing w:val="-3"/>
          <w:sz w:val="21"/>
          <w:highlight w:val="none"/>
        </w:rPr>
        <w:t>中存在缺漏项，则视为缺漏项价格已包含在其他分项报价之中。</w:t>
      </w:r>
    </w:p>
    <w:p w14:paraId="3ED2D897">
      <w:pPr>
        <w:pStyle w:val="13"/>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3.2 </w:t>
      </w:r>
      <w:r>
        <w:rPr>
          <w:rFonts w:hint="eastAsia"/>
          <w:sz w:val="21"/>
          <w:szCs w:val="21"/>
          <w:highlight w:val="none"/>
        </w:rPr>
        <w:t>详细评审</w:t>
      </w:r>
    </w:p>
    <w:p w14:paraId="322F5A43">
      <w:pPr>
        <w:pStyle w:val="13"/>
        <w:tabs>
          <w:tab w:val="left" w:pos="911"/>
        </w:tabs>
        <w:adjustRightInd w:val="0"/>
        <w:snapToGrid w:val="0"/>
        <w:spacing w:line="400" w:lineRule="exact"/>
        <w:ind w:left="0" w:firstLine="400" w:firstLineChars="200"/>
        <w:rPr>
          <w:b w:val="0"/>
          <w:bCs w:val="0"/>
          <w:spacing w:val="-7"/>
          <w:sz w:val="21"/>
          <w:szCs w:val="21"/>
          <w:highlight w:val="none"/>
        </w:rPr>
      </w:pPr>
      <w:r>
        <w:rPr>
          <w:rFonts w:hint="eastAsia"/>
          <w:b w:val="0"/>
          <w:bCs w:val="0"/>
          <w:spacing w:val="-5"/>
          <w:sz w:val="21"/>
          <w:szCs w:val="21"/>
          <w:highlight w:val="none"/>
          <w:lang w:val="en-US"/>
        </w:rPr>
        <w:t>3.2.1</w:t>
      </w:r>
      <w:r>
        <w:rPr>
          <w:rFonts w:hint="eastAsia"/>
          <w:b w:val="0"/>
          <w:bCs w:val="0"/>
          <w:spacing w:val="-5"/>
          <w:sz w:val="21"/>
          <w:szCs w:val="21"/>
          <w:highlight w:val="none"/>
        </w:rPr>
        <w:t>评标委员会按招标文件要求对所有投标文件进行检查，并进行综合比较与独立评分</w:t>
      </w:r>
      <w:r>
        <w:rPr>
          <w:rFonts w:hint="eastAsia"/>
          <w:b w:val="0"/>
          <w:bCs w:val="0"/>
          <w:spacing w:val="-5"/>
          <w:sz w:val="21"/>
          <w:szCs w:val="21"/>
          <w:highlight w:val="none"/>
          <w:lang w:val="en-US"/>
        </w:rPr>
        <w:t>并</w:t>
      </w:r>
      <w:r>
        <w:rPr>
          <w:rFonts w:hint="eastAsia"/>
          <w:b w:val="0"/>
          <w:bCs w:val="0"/>
          <w:spacing w:val="-5"/>
          <w:sz w:val="21"/>
          <w:szCs w:val="21"/>
          <w:highlight w:val="none"/>
        </w:rPr>
        <w:t xml:space="preserve">按本章第 </w:t>
      </w:r>
      <w:r>
        <w:rPr>
          <w:rFonts w:hint="eastAsia"/>
          <w:b w:val="0"/>
          <w:bCs w:val="0"/>
          <w:sz w:val="21"/>
          <w:szCs w:val="21"/>
          <w:highlight w:val="none"/>
        </w:rPr>
        <w:t>2.2</w:t>
      </w:r>
      <w:r>
        <w:rPr>
          <w:rFonts w:hint="eastAsia"/>
          <w:b w:val="0"/>
          <w:bCs w:val="0"/>
          <w:spacing w:val="-7"/>
          <w:sz w:val="21"/>
          <w:szCs w:val="21"/>
          <w:highlight w:val="none"/>
        </w:rPr>
        <w:t xml:space="preserve"> 款</w:t>
      </w:r>
      <w:r>
        <w:rPr>
          <w:rFonts w:hint="eastAsia"/>
          <w:b w:val="0"/>
          <w:bCs w:val="0"/>
          <w:sz w:val="21"/>
          <w:szCs w:val="21"/>
          <w:highlight w:val="none"/>
        </w:rPr>
        <w:t>分值构成与评分标准中</w:t>
      </w:r>
      <w:r>
        <w:rPr>
          <w:rFonts w:hint="eastAsia"/>
          <w:b w:val="0"/>
          <w:bCs w:val="0"/>
          <w:spacing w:val="-7"/>
          <w:sz w:val="21"/>
          <w:szCs w:val="21"/>
          <w:highlight w:val="none"/>
        </w:rPr>
        <w:t>规定的量化因素和分值进行打分，计算出综合评估得分。中标价和合同签约价仍以其投标文件中的一次报价为准。</w:t>
      </w:r>
    </w:p>
    <w:p w14:paraId="5AFFF1D1">
      <w:pPr>
        <w:pStyle w:val="31"/>
        <w:tabs>
          <w:tab w:val="left" w:pos="1701"/>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1</w:t>
      </w:r>
      <w:r>
        <w:rPr>
          <w:rFonts w:hint="eastAsia"/>
          <w:spacing w:val="-3"/>
          <w:sz w:val="21"/>
          <w:szCs w:val="21"/>
          <w:highlight w:val="none"/>
        </w:rPr>
        <w:t xml:space="preserve">）按本章规定的评审因素和分值对商务部分计算出得分 </w:t>
      </w:r>
      <w:r>
        <w:rPr>
          <w:rFonts w:hint="eastAsia"/>
          <w:sz w:val="21"/>
          <w:szCs w:val="21"/>
          <w:highlight w:val="none"/>
        </w:rPr>
        <w:t>A；</w:t>
      </w:r>
    </w:p>
    <w:p w14:paraId="3C1AFF7D">
      <w:pPr>
        <w:pStyle w:val="31"/>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2</w:t>
      </w:r>
      <w:r>
        <w:rPr>
          <w:rFonts w:hint="eastAsia"/>
          <w:spacing w:val="-3"/>
          <w:sz w:val="21"/>
          <w:szCs w:val="21"/>
          <w:highlight w:val="none"/>
        </w:rPr>
        <w:t xml:space="preserve">）按本章规定的评审因素和分值对技术部分计算出得分 </w:t>
      </w:r>
      <w:r>
        <w:rPr>
          <w:rFonts w:hint="eastAsia"/>
          <w:sz w:val="21"/>
          <w:szCs w:val="21"/>
          <w:highlight w:val="none"/>
        </w:rPr>
        <w:t>B；</w:t>
      </w:r>
    </w:p>
    <w:p w14:paraId="59182B87">
      <w:pPr>
        <w:pStyle w:val="31"/>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3</w:t>
      </w:r>
      <w:r>
        <w:rPr>
          <w:rFonts w:hint="eastAsia"/>
          <w:spacing w:val="-3"/>
          <w:sz w:val="21"/>
          <w:szCs w:val="21"/>
          <w:highlight w:val="none"/>
        </w:rPr>
        <w:t xml:space="preserve">）按本章规定的评审因素和分值对综合部分计算出得分 </w:t>
      </w:r>
      <w:r>
        <w:rPr>
          <w:rFonts w:hint="eastAsia"/>
          <w:sz w:val="21"/>
          <w:szCs w:val="21"/>
          <w:highlight w:val="none"/>
        </w:rPr>
        <w:t>C；</w:t>
      </w:r>
    </w:p>
    <w:p w14:paraId="0A578B46">
      <w:pPr>
        <w:pStyle w:val="31"/>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4</w:t>
      </w:r>
      <w:r>
        <w:rPr>
          <w:rFonts w:hint="eastAsia"/>
          <w:sz w:val="21"/>
          <w:szCs w:val="21"/>
          <w:highlight w:val="none"/>
        </w:rPr>
        <w:t>）评分分值计算保留小数点后两位，小数点后第三位“四舍五入”。</w:t>
      </w:r>
    </w:p>
    <w:p w14:paraId="78489EA6">
      <w:pPr>
        <w:pStyle w:val="31"/>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5</w:t>
      </w:r>
      <w:r>
        <w:rPr>
          <w:rFonts w:hint="eastAsia"/>
          <w:sz w:val="21"/>
          <w:szCs w:val="21"/>
          <w:highlight w:val="none"/>
        </w:rPr>
        <w:t>）投标人得分=A+B+C。</w:t>
      </w:r>
    </w:p>
    <w:p w14:paraId="038765E0">
      <w:pPr>
        <w:pStyle w:val="31"/>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6</w:t>
      </w:r>
      <w:r>
        <w:rPr>
          <w:rFonts w:hint="eastAsia"/>
          <w:sz w:val="21"/>
          <w:szCs w:val="21"/>
          <w:highlight w:val="none"/>
        </w:rPr>
        <w:t>）投标人最终得分：最终得分为各评委打分之和的算术平均值。</w:t>
      </w:r>
    </w:p>
    <w:p w14:paraId="23AF08D1">
      <w:pPr>
        <w:pStyle w:val="31"/>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7</w:t>
      </w:r>
      <w:r>
        <w:rPr>
          <w:rFonts w:hint="eastAsia"/>
          <w:sz w:val="21"/>
          <w:szCs w:val="21"/>
          <w:highlight w:val="none"/>
        </w:rPr>
        <w:t>）评标委员会发现投标人的报价明显低于其他投标报价，或者在设有标底时明显低于标底，使得其投标报价可能低于其个别成本的，应当要求该投标人作出说明并提供相应的证明材料。投标人不能合理说明或者不能提供相应证明材料的，由评标委员会认定该投标人以低于成本报价竞标，其投标将被否决。</w:t>
      </w:r>
    </w:p>
    <w:p w14:paraId="2BF99325">
      <w:pPr>
        <w:pStyle w:val="13"/>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3.3 </w:t>
      </w:r>
      <w:r>
        <w:rPr>
          <w:rFonts w:hint="eastAsia"/>
          <w:sz w:val="21"/>
          <w:szCs w:val="21"/>
          <w:highlight w:val="none"/>
        </w:rPr>
        <w:t>投标文件的澄清和补正</w:t>
      </w:r>
    </w:p>
    <w:p w14:paraId="2FB9C798">
      <w:pPr>
        <w:pStyle w:val="31"/>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3.3.1</w:t>
      </w:r>
      <w:r>
        <w:rPr>
          <w:rFonts w:hint="eastAsia"/>
          <w:sz w:val="21"/>
          <w:szCs w:val="21"/>
          <w:highlight w:val="none"/>
        </w:rPr>
        <w:t>在评标过程中，评标委员会可以在电子交易系统中要求投标人对所提交投标文件中不明确的内容进行澄清或说明，或者对细微偏差进行补正。评标委员会不接受投标人主动提出的澄清、说明或补正。</w:t>
      </w:r>
    </w:p>
    <w:p w14:paraId="21CDB722">
      <w:pPr>
        <w:pStyle w:val="31"/>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3.3.2</w:t>
      </w:r>
      <w:r>
        <w:rPr>
          <w:rFonts w:hint="eastAsia"/>
          <w:sz w:val="21"/>
          <w:szCs w:val="21"/>
          <w:highlight w:val="none"/>
        </w:rPr>
        <w:t>澄清、说明和补正不得改变投标文件的实质性内容（算术性错误修正的除外）。投标人的澄清、说明和补正属于投标文件的组成部分。</w:t>
      </w:r>
    </w:p>
    <w:p w14:paraId="41B8DACE">
      <w:pPr>
        <w:pStyle w:val="31"/>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3.3.3</w:t>
      </w:r>
      <w:r>
        <w:rPr>
          <w:rFonts w:hint="eastAsia"/>
          <w:sz w:val="21"/>
          <w:szCs w:val="21"/>
          <w:highlight w:val="none"/>
        </w:rPr>
        <w:t>评标委员会对投标人提交的澄清、说明或补正有疑问的，可以要求投标人进一步澄清、说明或补正，直至满足评标委员会的要求。</w:t>
      </w:r>
    </w:p>
    <w:p w14:paraId="29A5EEBD">
      <w:pPr>
        <w:pStyle w:val="13"/>
        <w:tabs>
          <w:tab w:val="left" w:pos="704"/>
        </w:tabs>
        <w:spacing w:line="400" w:lineRule="exact"/>
        <w:ind w:left="0" w:firstLine="0"/>
        <w:rPr>
          <w:sz w:val="28"/>
          <w:szCs w:val="28"/>
          <w:highlight w:val="none"/>
          <w:lang w:val="en-US"/>
        </w:rPr>
      </w:pPr>
      <w:r>
        <w:rPr>
          <w:rFonts w:hint="eastAsia"/>
          <w:sz w:val="28"/>
          <w:szCs w:val="28"/>
          <w:highlight w:val="none"/>
          <w:lang w:val="en-US"/>
        </w:rPr>
        <w:t>3.4 评标结果</w:t>
      </w:r>
    </w:p>
    <w:p w14:paraId="28B5D55A">
      <w:pPr>
        <w:pStyle w:val="31"/>
        <w:tabs>
          <w:tab w:val="left" w:pos="1641"/>
        </w:tabs>
        <w:adjustRightInd w:val="0"/>
        <w:snapToGrid w:val="0"/>
        <w:spacing w:line="400" w:lineRule="exact"/>
        <w:ind w:left="0" w:firstLine="404" w:firstLineChars="200"/>
        <w:rPr>
          <w:spacing w:val="-4"/>
          <w:sz w:val="21"/>
          <w:szCs w:val="21"/>
          <w:highlight w:val="none"/>
        </w:rPr>
      </w:pPr>
      <w:r>
        <w:rPr>
          <w:rFonts w:hint="eastAsia"/>
          <w:spacing w:val="-4"/>
          <w:sz w:val="21"/>
          <w:szCs w:val="21"/>
          <w:highlight w:val="none"/>
          <w:lang w:val="en-US"/>
        </w:rPr>
        <w:t>3.4.1</w:t>
      </w:r>
      <w:r>
        <w:rPr>
          <w:rFonts w:hint="eastAsia"/>
          <w:spacing w:val="-4"/>
          <w:sz w:val="21"/>
          <w:szCs w:val="21"/>
          <w:highlight w:val="none"/>
        </w:rPr>
        <w:t>评标委员会按照得分由高到低的顺序推荐</w:t>
      </w:r>
      <w:r>
        <w:rPr>
          <w:rFonts w:hint="eastAsia"/>
          <w:spacing w:val="-4"/>
          <w:sz w:val="21"/>
          <w:szCs w:val="21"/>
          <w:highlight w:val="none"/>
          <w:lang w:val="en-US"/>
        </w:rPr>
        <w:t>1-</w:t>
      </w:r>
      <w:r>
        <w:rPr>
          <w:rFonts w:hint="eastAsia"/>
          <w:spacing w:val="-4"/>
          <w:sz w:val="21"/>
          <w:szCs w:val="21"/>
          <w:highlight w:val="none"/>
        </w:rPr>
        <w:t>3名中标候选人。</w:t>
      </w:r>
    </w:p>
    <w:p w14:paraId="321C2E75">
      <w:pPr>
        <w:pStyle w:val="31"/>
        <w:tabs>
          <w:tab w:val="left" w:pos="1641"/>
        </w:tabs>
        <w:adjustRightInd w:val="0"/>
        <w:snapToGrid w:val="0"/>
        <w:spacing w:line="400" w:lineRule="exact"/>
        <w:ind w:left="0" w:firstLine="404" w:firstLineChars="200"/>
        <w:rPr>
          <w:highlight w:val="none"/>
        </w:rPr>
      </w:pPr>
      <w:r>
        <w:rPr>
          <w:rFonts w:hint="eastAsia"/>
          <w:spacing w:val="-4"/>
          <w:sz w:val="21"/>
          <w:szCs w:val="21"/>
          <w:highlight w:val="none"/>
          <w:lang w:val="en-US"/>
        </w:rPr>
        <w:t>3.4.2</w:t>
      </w:r>
      <w:r>
        <w:rPr>
          <w:rFonts w:hint="eastAsia"/>
          <w:spacing w:val="-4"/>
          <w:sz w:val="21"/>
          <w:szCs w:val="21"/>
          <w:highlight w:val="none"/>
        </w:rPr>
        <w:t>评标委员会完成评标后，应当向采购人提交书面评标报</w:t>
      </w:r>
      <w:r>
        <w:rPr>
          <w:rFonts w:hint="eastAsia"/>
          <w:sz w:val="21"/>
          <w:szCs w:val="21"/>
          <w:highlight w:val="none"/>
        </w:rPr>
        <w:t>告。</w:t>
      </w:r>
      <w:bookmarkStart w:id="30" w:name="_bookmark12"/>
      <w:bookmarkEnd w:id="30"/>
      <w:bookmarkStart w:id="31" w:name="_Toc31506"/>
    </w:p>
    <w:p w14:paraId="41708FFA">
      <w:pPr>
        <w:rPr>
          <w:rFonts w:ascii="宋体" w:hAnsi="宋体" w:cs="宋体"/>
          <w:highlight w:val="none"/>
        </w:rPr>
      </w:pPr>
      <w:r>
        <w:rPr>
          <w:rFonts w:hint="eastAsia" w:ascii="宋体" w:hAnsi="宋体" w:cs="宋体"/>
          <w:highlight w:val="none"/>
        </w:rPr>
        <w:br w:type="page"/>
      </w:r>
    </w:p>
    <w:p w14:paraId="4C7140C0">
      <w:pPr>
        <w:rPr>
          <w:rFonts w:ascii="宋体" w:hAnsi="宋体" w:cs="宋体"/>
          <w:highlight w:val="none"/>
        </w:rPr>
      </w:pPr>
    </w:p>
    <w:p w14:paraId="293D2AD7">
      <w:pPr>
        <w:pStyle w:val="10"/>
        <w:tabs>
          <w:tab w:val="left" w:pos="4513"/>
        </w:tabs>
        <w:spacing w:before="55"/>
        <w:ind w:right="0"/>
        <w:rPr>
          <w:highlight w:val="none"/>
        </w:rPr>
      </w:pPr>
      <w:bookmarkStart w:id="32" w:name="_Toc22218"/>
      <w:r>
        <w:rPr>
          <w:rFonts w:hint="eastAsia"/>
          <w:highlight w:val="none"/>
        </w:rPr>
        <w:t>第四章合同条款及格式</w:t>
      </w:r>
      <w:bookmarkEnd w:id="24"/>
      <w:bookmarkEnd w:id="25"/>
      <w:bookmarkEnd w:id="31"/>
      <w:bookmarkEnd w:id="32"/>
    </w:p>
    <w:p w14:paraId="0D7DA191">
      <w:pPr>
        <w:rPr>
          <w:rFonts w:ascii="宋体" w:hAnsi="宋体" w:cs="宋体"/>
          <w:highlight w:val="none"/>
        </w:rPr>
      </w:pPr>
    </w:p>
    <w:p w14:paraId="52A0023B">
      <w:pPr>
        <w:jc w:val="center"/>
        <w:rPr>
          <w:rFonts w:ascii="宋体" w:hAnsi="宋体" w:cs="宋体"/>
          <w:sz w:val="20"/>
          <w:highlight w:val="none"/>
        </w:rPr>
      </w:pPr>
      <w:r>
        <w:rPr>
          <w:rFonts w:hint="eastAsia" w:ascii="宋体" w:hAnsi="宋体" w:cs="宋体"/>
          <w:sz w:val="20"/>
          <w:highlight w:val="none"/>
        </w:rPr>
        <w:t>供参考，可根据具体情况修改</w:t>
      </w:r>
    </w:p>
    <w:p w14:paraId="22ACCB9F">
      <w:pPr>
        <w:widowControl/>
        <w:kinsoku w:val="0"/>
        <w:autoSpaceDE w:val="0"/>
        <w:autoSpaceDN w:val="0"/>
        <w:adjustRightInd w:val="0"/>
        <w:snapToGrid w:val="0"/>
        <w:spacing w:line="500" w:lineRule="exact"/>
        <w:ind w:firstLine="482" w:firstLineChars="200"/>
        <w:jc w:val="left"/>
        <w:textAlignment w:val="baseline"/>
        <w:rPr>
          <w:rFonts w:ascii="宋体" w:hAnsi="宋体" w:cs="宋体"/>
          <w:b/>
          <w:bCs/>
          <w:snapToGrid w:val="0"/>
          <w:kern w:val="0"/>
          <w:sz w:val="24"/>
          <w:highlight w:val="none"/>
          <w:u w:val="single"/>
        </w:rPr>
      </w:pPr>
      <w:r>
        <w:rPr>
          <w:rFonts w:hint="eastAsia" w:ascii="宋体" w:hAnsi="宋体" w:cs="宋体"/>
          <w:b/>
          <w:bCs/>
          <w:snapToGrid w:val="0"/>
          <w:kern w:val="0"/>
          <w:sz w:val="24"/>
          <w:highlight w:val="none"/>
        </w:rPr>
        <w:t xml:space="preserve">釆购方（以下简称甲方）： </w:t>
      </w:r>
    </w:p>
    <w:p w14:paraId="135EF5C3">
      <w:pPr>
        <w:widowControl/>
        <w:kinsoku w:val="0"/>
        <w:autoSpaceDE w:val="0"/>
        <w:autoSpaceDN w:val="0"/>
        <w:adjustRightInd w:val="0"/>
        <w:snapToGrid w:val="0"/>
        <w:spacing w:line="500" w:lineRule="exact"/>
        <w:ind w:firstLine="482" w:firstLineChars="200"/>
        <w:jc w:val="left"/>
        <w:textAlignment w:val="baseline"/>
        <w:rPr>
          <w:rFonts w:ascii="宋体" w:hAnsi="宋体" w:cs="宋体"/>
          <w:b/>
          <w:bCs/>
          <w:snapToGrid w:val="0"/>
          <w:kern w:val="0"/>
          <w:sz w:val="24"/>
          <w:highlight w:val="none"/>
        </w:rPr>
      </w:pPr>
      <w:r>
        <w:rPr>
          <w:rFonts w:hint="eastAsia" w:ascii="宋体" w:hAnsi="宋体" w:cs="宋体"/>
          <w:b/>
          <w:bCs/>
          <w:snapToGrid w:val="0"/>
          <w:kern w:val="0"/>
          <w:sz w:val="24"/>
          <w:highlight w:val="none"/>
        </w:rPr>
        <w:t>供货方（以下简称乙方）：</w:t>
      </w:r>
    </w:p>
    <w:p w14:paraId="0EE874FA">
      <w:pPr>
        <w:pStyle w:val="46"/>
        <w:spacing w:line="500" w:lineRule="exact"/>
        <w:ind w:firstLine="480" w:firstLineChars="200"/>
        <w:jc w:val="left"/>
        <w:rPr>
          <w:color w:val="auto"/>
          <w:sz w:val="24"/>
          <w:szCs w:val="24"/>
          <w:highlight w:val="none"/>
        </w:rPr>
      </w:pPr>
      <w:r>
        <w:rPr>
          <w:rFonts w:hint="eastAsia"/>
          <w:color w:val="auto"/>
          <w:sz w:val="24"/>
          <w:szCs w:val="24"/>
          <w:highlight w:val="none"/>
        </w:rPr>
        <w:t>甲、乙双方根据《中华人民共和国政府采购法》、《</w:t>
      </w:r>
      <w:r>
        <w:rPr>
          <w:rFonts w:hint="eastAsia"/>
          <w:color w:val="auto"/>
          <w:sz w:val="24"/>
          <w:szCs w:val="24"/>
          <w:highlight w:val="none"/>
          <w:lang w:eastAsia="zh-CN"/>
        </w:rPr>
        <w:t>民法典</w:t>
      </w:r>
      <w:r>
        <w:rPr>
          <w:rFonts w:hint="eastAsia"/>
          <w:color w:val="auto"/>
          <w:sz w:val="24"/>
          <w:szCs w:val="24"/>
          <w:highlight w:val="none"/>
        </w:rPr>
        <w:t>》和本次</w:t>
      </w:r>
      <w:r>
        <w:rPr>
          <w:rFonts w:hint="eastAsia"/>
          <w:color w:val="auto"/>
          <w:sz w:val="24"/>
          <w:szCs w:val="24"/>
          <w:highlight w:val="none"/>
          <w:u w:val="single"/>
          <w:lang w:val="en-US" w:eastAsia="zh-CN"/>
        </w:rPr>
        <w:t xml:space="preserve">    （项目名称）</w:t>
      </w:r>
      <w:r>
        <w:rPr>
          <w:rFonts w:hint="eastAsia"/>
          <w:color w:val="auto"/>
          <w:sz w:val="24"/>
          <w:szCs w:val="24"/>
          <w:highlight w:val="none"/>
        </w:rPr>
        <w:t>（</w:t>
      </w:r>
      <w:r>
        <w:rPr>
          <w:rFonts w:hint="eastAsia"/>
          <w:color w:val="auto"/>
          <w:kern w:val="0"/>
          <w:sz w:val="24"/>
          <w:szCs w:val="24"/>
          <w:highlight w:val="none"/>
        </w:rPr>
        <w:t>采购项目</w:t>
      </w:r>
      <w:r>
        <w:rPr>
          <w:rFonts w:hint="eastAsia"/>
          <w:color w:val="auto"/>
          <w:kern w:val="0"/>
          <w:sz w:val="24"/>
          <w:szCs w:val="24"/>
          <w:highlight w:val="none"/>
          <w:lang w:eastAsia="zh-CN"/>
        </w:rPr>
        <w:t>编号</w:t>
      </w:r>
      <w:r>
        <w:rPr>
          <w:rFonts w:hint="eastAsia"/>
          <w:color w:val="auto"/>
          <w:sz w:val="24"/>
          <w:szCs w:val="24"/>
          <w:highlight w:val="none"/>
        </w:rPr>
        <w:t>）的招标文件要求和采购人、采购代理机构出具的《中标通知书》，并经双方协商一致，签订本合同协议书。</w:t>
      </w:r>
    </w:p>
    <w:p w14:paraId="6E22698C">
      <w:pPr>
        <w:pStyle w:val="46"/>
        <w:tabs>
          <w:tab w:val="left" w:pos="457"/>
        </w:tabs>
        <w:spacing w:line="500" w:lineRule="exact"/>
        <w:ind w:firstLine="480" w:firstLineChars="200"/>
        <w:jc w:val="left"/>
        <w:rPr>
          <w:color w:val="auto"/>
          <w:sz w:val="24"/>
          <w:szCs w:val="24"/>
          <w:highlight w:val="none"/>
        </w:rPr>
      </w:pPr>
      <w:r>
        <w:rPr>
          <w:rFonts w:hint="eastAsia"/>
          <w:color w:val="auto"/>
          <w:sz w:val="24"/>
          <w:szCs w:val="24"/>
          <w:highlight w:val="none"/>
          <w:lang w:eastAsia="zh-CN"/>
        </w:rPr>
        <w:t>一、</w:t>
      </w:r>
      <w:r>
        <w:rPr>
          <w:rFonts w:hint="eastAsia"/>
          <w:color w:val="auto"/>
          <w:sz w:val="24"/>
          <w:szCs w:val="24"/>
          <w:highlight w:val="none"/>
        </w:rPr>
        <w:t>签订本采购合同的依据</w:t>
      </w:r>
    </w:p>
    <w:p w14:paraId="5CD52156">
      <w:pPr>
        <w:pStyle w:val="46"/>
        <w:spacing w:line="500" w:lineRule="exact"/>
        <w:ind w:firstLine="480" w:firstLineChars="200"/>
        <w:jc w:val="left"/>
        <w:rPr>
          <w:color w:val="auto"/>
          <w:sz w:val="24"/>
          <w:szCs w:val="24"/>
          <w:highlight w:val="none"/>
        </w:rPr>
      </w:pPr>
      <w:r>
        <w:rPr>
          <w:rFonts w:hint="eastAsia"/>
          <w:color w:val="auto"/>
          <w:sz w:val="24"/>
          <w:szCs w:val="24"/>
          <w:highlight w:val="none"/>
        </w:rPr>
        <w:t>本</w:t>
      </w:r>
      <w:r>
        <w:rPr>
          <w:rFonts w:hint="eastAsia"/>
          <w:color w:val="auto"/>
          <w:sz w:val="24"/>
          <w:szCs w:val="24"/>
          <w:highlight w:val="none"/>
          <w:lang w:eastAsia="zh-CN"/>
        </w:rPr>
        <w:t>采购</w:t>
      </w:r>
      <w:r>
        <w:rPr>
          <w:rFonts w:hint="eastAsia"/>
          <w:color w:val="auto"/>
          <w:sz w:val="24"/>
          <w:szCs w:val="24"/>
          <w:highlight w:val="none"/>
        </w:rPr>
        <w:t>合同所附下列文件是构成本采购合同不可分割的部分：</w:t>
      </w:r>
    </w:p>
    <w:p w14:paraId="14129652">
      <w:pPr>
        <w:pStyle w:val="46"/>
        <w:tabs>
          <w:tab w:val="left" w:pos="747"/>
        </w:tabs>
        <w:spacing w:line="500" w:lineRule="exact"/>
        <w:ind w:firstLine="480" w:firstLineChars="200"/>
        <w:jc w:val="left"/>
        <w:rPr>
          <w:color w:val="auto"/>
          <w:sz w:val="24"/>
          <w:szCs w:val="24"/>
          <w:highlight w:val="none"/>
        </w:rPr>
      </w:pPr>
      <w:r>
        <w:rPr>
          <w:rFonts w:hint="eastAsia"/>
          <w:color w:val="auto"/>
          <w:sz w:val="24"/>
          <w:szCs w:val="24"/>
          <w:highlight w:val="none"/>
        </w:rPr>
        <w:t>1、招标文件；</w:t>
      </w:r>
    </w:p>
    <w:p w14:paraId="72D5C7D2">
      <w:pPr>
        <w:pStyle w:val="46"/>
        <w:tabs>
          <w:tab w:val="left" w:pos="767"/>
        </w:tabs>
        <w:spacing w:line="500" w:lineRule="exact"/>
        <w:ind w:firstLine="480" w:firstLineChars="200"/>
        <w:jc w:val="left"/>
        <w:rPr>
          <w:color w:val="auto"/>
          <w:sz w:val="24"/>
          <w:szCs w:val="24"/>
          <w:highlight w:val="none"/>
        </w:rPr>
      </w:pPr>
      <w:r>
        <w:rPr>
          <w:rFonts w:hint="eastAsia"/>
          <w:color w:val="auto"/>
          <w:sz w:val="24"/>
          <w:szCs w:val="24"/>
          <w:highlight w:val="none"/>
        </w:rPr>
        <w:t>2、招标文件的澄清、变更公告；</w:t>
      </w:r>
    </w:p>
    <w:p w14:paraId="6776EC2B">
      <w:pPr>
        <w:pStyle w:val="46"/>
        <w:tabs>
          <w:tab w:val="left" w:pos="767"/>
        </w:tabs>
        <w:spacing w:line="500" w:lineRule="exact"/>
        <w:ind w:firstLine="480" w:firstLineChars="200"/>
        <w:jc w:val="left"/>
        <w:rPr>
          <w:color w:val="auto"/>
          <w:sz w:val="24"/>
          <w:szCs w:val="24"/>
          <w:highlight w:val="none"/>
        </w:rPr>
      </w:pPr>
      <w:r>
        <w:rPr>
          <w:rFonts w:hint="eastAsia"/>
          <w:color w:val="auto"/>
          <w:sz w:val="24"/>
          <w:szCs w:val="24"/>
          <w:highlight w:val="none"/>
        </w:rPr>
        <w:t>3、中标人提交的投标文件；</w:t>
      </w:r>
    </w:p>
    <w:p w14:paraId="6B39E7AC">
      <w:pPr>
        <w:pStyle w:val="46"/>
        <w:tabs>
          <w:tab w:val="left" w:pos="767"/>
        </w:tabs>
        <w:spacing w:line="500" w:lineRule="exact"/>
        <w:ind w:firstLine="480" w:firstLineChars="200"/>
        <w:jc w:val="left"/>
        <w:rPr>
          <w:color w:val="auto"/>
          <w:sz w:val="24"/>
          <w:szCs w:val="24"/>
          <w:highlight w:val="none"/>
        </w:rPr>
      </w:pPr>
      <w:r>
        <w:rPr>
          <w:rFonts w:hint="eastAsia"/>
          <w:color w:val="auto"/>
          <w:sz w:val="24"/>
          <w:szCs w:val="24"/>
          <w:highlight w:val="none"/>
        </w:rPr>
        <w:t>4、招标文件中规定的政府釆购合同通用条款；</w:t>
      </w:r>
    </w:p>
    <w:p w14:paraId="52731D7D">
      <w:pPr>
        <w:pStyle w:val="46"/>
        <w:tabs>
          <w:tab w:val="left" w:pos="767"/>
        </w:tabs>
        <w:spacing w:line="500" w:lineRule="exact"/>
        <w:ind w:firstLine="480" w:firstLineChars="200"/>
        <w:jc w:val="left"/>
        <w:rPr>
          <w:color w:val="auto"/>
          <w:sz w:val="24"/>
          <w:szCs w:val="24"/>
          <w:highlight w:val="none"/>
        </w:rPr>
      </w:pPr>
      <w:r>
        <w:rPr>
          <w:rFonts w:hint="eastAsia"/>
          <w:color w:val="auto"/>
          <w:sz w:val="24"/>
          <w:szCs w:val="24"/>
          <w:highlight w:val="none"/>
        </w:rPr>
        <w:t>5、中标通知书。</w:t>
      </w:r>
    </w:p>
    <w:p w14:paraId="7348A1EE">
      <w:pPr>
        <w:pStyle w:val="46"/>
        <w:tabs>
          <w:tab w:val="left" w:pos="461"/>
          <w:tab w:val="left" w:pos="5723"/>
        </w:tabs>
        <w:spacing w:line="500" w:lineRule="exact"/>
        <w:ind w:firstLine="480" w:firstLineChars="200"/>
        <w:jc w:val="left"/>
        <w:rPr>
          <w:color w:val="auto"/>
          <w:sz w:val="24"/>
          <w:szCs w:val="24"/>
          <w:highlight w:val="none"/>
        </w:rPr>
      </w:pPr>
      <w:r>
        <w:rPr>
          <w:rFonts w:hint="eastAsia"/>
          <w:color w:val="auto"/>
          <w:sz w:val="24"/>
          <w:szCs w:val="24"/>
          <w:highlight w:val="none"/>
          <w:lang w:eastAsia="zh-CN"/>
        </w:rPr>
        <w:t>二、</w:t>
      </w:r>
      <w:r>
        <w:rPr>
          <w:rFonts w:hint="eastAsia"/>
          <w:color w:val="auto"/>
          <w:sz w:val="24"/>
          <w:szCs w:val="24"/>
          <w:highlight w:val="none"/>
        </w:rPr>
        <w:t>合同标的及金额单位：元</w:t>
      </w:r>
    </w:p>
    <w:tbl>
      <w:tblPr>
        <w:tblStyle w:val="24"/>
        <w:tblW w:w="9676" w:type="dxa"/>
        <w:tblInd w:w="-65" w:type="dxa"/>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598"/>
        <w:gridCol w:w="1057"/>
        <w:gridCol w:w="1004"/>
        <w:gridCol w:w="1079"/>
        <w:gridCol w:w="1079"/>
        <w:gridCol w:w="1624"/>
        <w:gridCol w:w="779"/>
        <w:gridCol w:w="822"/>
        <w:gridCol w:w="833"/>
        <w:gridCol w:w="801"/>
      </w:tblGrid>
      <w:tr w14:paraId="132A66EA">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509" w:hRule="atLeast"/>
        </w:trPr>
        <w:tc>
          <w:tcPr>
            <w:tcW w:w="598" w:type="dxa"/>
            <w:tcBorders>
              <w:top w:val="single" w:color="auto" w:sz="12" w:space="0"/>
            </w:tcBorders>
            <w:noWrap/>
            <w:vAlign w:val="center"/>
          </w:tcPr>
          <w:p w14:paraId="43CD8219">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序号</w:t>
            </w:r>
          </w:p>
        </w:tc>
        <w:tc>
          <w:tcPr>
            <w:tcW w:w="1057" w:type="dxa"/>
            <w:tcBorders>
              <w:top w:val="single" w:color="auto" w:sz="12" w:space="0"/>
            </w:tcBorders>
            <w:noWrap/>
            <w:vAlign w:val="center"/>
          </w:tcPr>
          <w:p w14:paraId="39A6B204">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名称</w:t>
            </w:r>
          </w:p>
        </w:tc>
        <w:tc>
          <w:tcPr>
            <w:tcW w:w="1004" w:type="dxa"/>
            <w:tcBorders>
              <w:top w:val="single" w:color="auto" w:sz="12" w:space="0"/>
            </w:tcBorders>
            <w:noWrap/>
            <w:vAlign w:val="center"/>
          </w:tcPr>
          <w:p w14:paraId="746D9A52">
            <w:pPr>
              <w:widowControl/>
              <w:kinsoku w:val="0"/>
              <w:autoSpaceDE w:val="0"/>
              <w:autoSpaceDN w:val="0"/>
              <w:adjustRightInd w:val="0"/>
              <w:snapToGrid w:val="0"/>
              <w:spacing w:line="500" w:lineRule="exact"/>
              <w:jc w:val="center"/>
              <w:textAlignment w:val="baseline"/>
              <w:rPr>
                <w:rFonts w:hint="eastAsia"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品牌</w:t>
            </w:r>
          </w:p>
        </w:tc>
        <w:tc>
          <w:tcPr>
            <w:tcW w:w="1079" w:type="dxa"/>
            <w:tcBorders>
              <w:top w:val="single" w:color="auto" w:sz="12" w:space="0"/>
            </w:tcBorders>
            <w:noWrap/>
            <w:vAlign w:val="center"/>
          </w:tcPr>
          <w:p w14:paraId="5AF92B46">
            <w:pPr>
              <w:widowControl/>
              <w:kinsoku w:val="0"/>
              <w:autoSpaceDE w:val="0"/>
              <w:autoSpaceDN w:val="0"/>
              <w:adjustRightInd w:val="0"/>
              <w:snapToGrid w:val="0"/>
              <w:spacing w:line="500" w:lineRule="exact"/>
              <w:jc w:val="center"/>
              <w:textAlignment w:val="baseline"/>
              <w:rPr>
                <w:rFonts w:hint="default" w:ascii="宋体" w:hAnsi="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厂家全称</w:t>
            </w:r>
          </w:p>
        </w:tc>
        <w:tc>
          <w:tcPr>
            <w:tcW w:w="1079" w:type="dxa"/>
            <w:tcBorders>
              <w:top w:val="single" w:color="auto" w:sz="12" w:space="0"/>
            </w:tcBorders>
            <w:noWrap/>
            <w:vAlign w:val="center"/>
          </w:tcPr>
          <w:p w14:paraId="5F388799">
            <w:pPr>
              <w:widowControl/>
              <w:kinsoku w:val="0"/>
              <w:autoSpaceDE w:val="0"/>
              <w:autoSpaceDN w:val="0"/>
              <w:adjustRightInd w:val="0"/>
              <w:snapToGrid w:val="0"/>
              <w:spacing w:line="500" w:lineRule="exact"/>
              <w:jc w:val="center"/>
              <w:textAlignment w:val="baseline"/>
              <w:rPr>
                <w:rFonts w:hint="default"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规格型号</w:t>
            </w:r>
          </w:p>
        </w:tc>
        <w:tc>
          <w:tcPr>
            <w:tcW w:w="1624" w:type="dxa"/>
            <w:tcBorders>
              <w:top w:val="single" w:color="auto" w:sz="12" w:space="0"/>
            </w:tcBorders>
            <w:noWrap/>
            <w:vAlign w:val="center"/>
          </w:tcPr>
          <w:p w14:paraId="4FB651D3">
            <w:pPr>
              <w:widowControl/>
              <w:kinsoku w:val="0"/>
              <w:autoSpaceDE w:val="0"/>
              <w:autoSpaceDN w:val="0"/>
              <w:adjustRightInd w:val="0"/>
              <w:snapToGrid w:val="0"/>
              <w:spacing w:line="500" w:lineRule="exact"/>
              <w:jc w:val="center"/>
              <w:textAlignment w:val="baseline"/>
              <w:rPr>
                <w:rFonts w:hint="default"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eastAsia="zh-CN"/>
              </w:rPr>
              <w:t>技术</w:t>
            </w:r>
            <w:r>
              <w:rPr>
                <w:rFonts w:hint="eastAsia" w:ascii="宋体" w:hAnsi="宋体" w:cs="宋体"/>
                <w:snapToGrid w:val="0"/>
                <w:kern w:val="0"/>
                <w:sz w:val="21"/>
                <w:szCs w:val="21"/>
                <w:highlight w:val="none"/>
              </w:rPr>
              <w:t>参数</w:t>
            </w:r>
            <w:r>
              <w:rPr>
                <w:rFonts w:hint="eastAsia" w:ascii="宋体" w:hAnsi="宋体" w:cs="宋体"/>
                <w:snapToGrid w:val="0"/>
                <w:kern w:val="0"/>
                <w:sz w:val="21"/>
                <w:szCs w:val="21"/>
                <w:highlight w:val="none"/>
                <w:lang w:val="en-US" w:eastAsia="zh-CN"/>
              </w:rPr>
              <w:t>及要求</w:t>
            </w:r>
          </w:p>
        </w:tc>
        <w:tc>
          <w:tcPr>
            <w:tcW w:w="779" w:type="dxa"/>
            <w:tcBorders>
              <w:top w:val="single" w:color="auto" w:sz="12" w:space="0"/>
            </w:tcBorders>
            <w:noWrap/>
            <w:vAlign w:val="center"/>
          </w:tcPr>
          <w:p w14:paraId="4BDBDD02">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单位</w:t>
            </w:r>
          </w:p>
        </w:tc>
        <w:tc>
          <w:tcPr>
            <w:tcW w:w="822" w:type="dxa"/>
            <w:tcBorders>
              <w:top w:val="single" w:color="auto" w:sz="12" w:space="0"/>
            </w:tcBorders>
            <w:noWrap/>
            <w:vAlign w:val="center"/>
          </w:tcPr>
          <w:p w14:paraId="7B866571">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数量</w:t>
            </w:r>
          </w:p>
        </w:tc>
        <w:tc>
          <w:tcPr>
            <w:tcW w:w="833" w:type="dxa"/>
            <w:tcBorders>
              <w:top w:val="single" w:color="auto" w:sz="12" w:space="0"/>
            </w:tcBorders>
            <w:noWrap/>
            <w:vAlign w:val="center"/>
          </w:tcPr>
          <w:p w14:paraId="6333DFB3">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单价</w:t>
            </w:r>
          </w:p>
        </w:tc>
        <w:tc>
          <w:tcPr>
            <w:tcW w:w="801" w:type="dxa"/>
            <w:tcBorders>
              <w:top w:val="single" w:color="auto" w:sz="12" w:space="0"/>
            </w:tcBorders>
            <w:noWrap/>
            <w:vAlign w:val="center"/>
          </w:tcPr>
          <w:p w14:paraId="10C600FE">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合价</w:t>
            </w:r>
          </w:p>
        </w:tc>
      </w:tr>
      <w:tr w14:paraId="36EE936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969" w:hRule="atLeast"/>
        </w:trPr>
        <w:tc>
          <w:tcPr>
            <w:tcW w:w="598" w:type="dxa"/>
            <w:noWrap/>
            <w:vAlign w:val="center"/>
          </w:tcPr>
          <w:p w14:paraId="7E33EAA9">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1</w:t>
            </w:r>
          </w:p>
        </w:tc>
        <w:tc>
          <w:tcPr>
            <w:tcW w:w="1057" w:type="dxa"/>
            <w:noWrap/>
            <w:vAlign w:val="center"/>
          </w:tcPr>
          <w:p w14:paraId="0566579F">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04" w:type="dxa"/>
            <w:noWrap/>
            <w:vAlign w:val="center"/>
          </w:tcPr>
          <w:p w14:paraId="1B2C1116">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69E1A984">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42A49548">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624" w:type="dxa"/>
            <w:noWrap/>
            <w:vAlign w:val="center"/>
          </w:tcPr>
          <w:p w14:paraId="5884081D">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779" w:type="dxa"/>
            <w:noWrap/>
            <w:vAlign w:val="center"/>
          </w:tcPr>
          <w:p w14:paraId="46F5572A">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p w14:paraId="33B3CB69">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22" w:type="dxa"/>
            <w:noWrap/>
            <w:vAlign w:val="center"/>
          </w:tcPr>
          <w:p w14:paraId="4DBEFA53">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33" w:type="dxa"/>
            <w:noWrap/>
            <w:vAlign w:val="center"/>
          </w:tcPr>
          <w:p w14:paraId="3B6E0110">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01" w:type="dxa"/>
            <w:noWrap/>
            <w:vAlign w:val="center"/>
          </w:tcPr>
          <w:p w14:paraId="430A0803">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r>
    </w:tbl>
    <w:p w14:paraId="1ADC1276">
      <w:pPr>
        <w:pStyle w:val="46"/>
        <w:spacing w:line="500" w:lineRule="exact"/>
        <w:ind w:firstLine="480" w:firstLineChars="200"/>
        <w:jc w:val="left"/>
        <w:rPr>
          <w:color w:val="auto"/>
          <w:sz w:val="24"/>
          <w:szCs w:val="24"/>
          <w:highlight w:val="none"/>
          <w:lang w:val="en-US" w:eastAsia="zh-CN"/>
        </w:rPr>
      </w:pPr>
      <w:r>
        <w:rPr>
          <w:rFonts w:hint="eastAsia"/>
          <w:color w:val="auto"/>
          <w:sz w:val="24"/>
          <w:szCs w:val="24"/>
          <w:highlight w:val="none"/>
          <w:lang w:val="en-US" w:eastAsia="zh-CN"/>
        </w:rPr>
        <w:t>上述表格可以，以附件形式附合同后</w:t>
      </w:r>
    </w:p>
    <w:p w14:paraId="1F97C706">
      <w:pPr>
        <w:pStyle w:val="46"/>
        <w:spacing w:line="500" w:lineRule="exact"/>
        <w:ind w:firstLine="480" w:firstLineChars="200"/>
        <w:jc w:val="left"/>
        <w:rPr>
          <w:color w:val="auto"/>
          <w:sz w:val="24"/>
          <w:szCs w:val="24"/>
          <w:highlight w:val="none"/>
        </w:rPr>
      </w:pPr>
      <w:r>
        <w:rPr>
          <w:rFonts w:hint="eastAsia"/>
          <w:color w:val="auto"/>
          <w:sz w:val="24"/>
          <w:szCs w:val="24"/>
          <w:highlight w:val="none"/>
        </w:rPr>
        <w:t>根据上述釆购合同文件要求，本采购合同的总金额为人民币元（大写）元。</w:t>
      </w:r>
    </w:p>
    <w:p w14:paraId="06E0BB1B">
      <w:pPr>
        <w:pStyle w:val="46"/>
        <w:spacing w:line="500" w:lineRule="exact"/>
        <w:ind w:firstLine="480" w:firstLineChars="200"/>
        <w:jc w:val="left"/>
        <w:rPr>
          <w:color w:val="auto"/>
          <w:sz w:val="24"/>
          <w:szCs w:val="24"/>
          <w:highlight w:val="none"/>
        </w:rPr>
      </w:pPr>
      <w:r>
        <w:rPr>
          <w:rFonts w:hint="eastAsia"/>
          <w:color w:val="auto"/>
          <w:sz w:val="24"/>
          <w:szCs w:val="24"/>
          <w:highlight w:val="none"/>
          <w:shd w:val="clear" w:color="auto" w:fill="FFFFFF"/>
        </w:rPr>
        <w:t>本合同以人民币进行</w:t>
      </w:r>
      <w:bookmarkStart w:id="61" w:name="_GoBack"/>
      <w:bookmarkEnd w:id="61"/>
      <w:r>
        <w:rPr>
          <w:rFonts w:hint="eastAsia"/>
          <w:color w:val="auto"/>
          <w:sz w:val="24"/>
          <w:szCs w:val="24"/>
          <w:highlight w:val="none"/>
          <w:shd w:val="clear" w:color="auto" w:fill="FFFFFF"/>
        </w:rPr>
        <w:t>结算，合同总价包括：产品费、</w:t>
      </w:r>
      <w:r>
        <w:rPr>
          <w:rFonts w:hint="eastAsia"/>
          <w:color w:val="auto"/>
          <w:sz w:val="24"/>
          <w:szCs w:val="24"/>
          <w:highlight w:val="none"/>
        </w:rPr>
        <w:t>软件费</w:t>
      </w:r>
      <w:r>
        <w:rPr>
          <w:rFonts w:hint="eastAsia"/>
          <w:color w:val="auto"/>
          <w:sz w:val="24"/>
          <w:szCs w:val="24"/>
          <w:highlight w:val="none"/>
          <w:lang w:eastAsia="zh-CN"/>
        </w:rPr>
        <w:t>、</w:t>
      </w:r>
      <w:r>
        <w:rPr>
          <w:rFonts w:hint="eastAsia"/>
          <w:color w:val="auto"/>
          <w:sz w:val="24"/>
          <w:szCs w:val="24"/>
          <w:highlight w:val="none"/>
        </w:rPr>
        <w:t>网络硬件设备</w:t>
      </w:r>
      <w:r>
        <w:rPr>
          <w:rFonts w:hint="eastAsia"/>
          <w:color w:val="auto"/>
          <w:sz w:val="24"/>
          <w:szCs w:val="24"/>
          <w:highlight w:val="none"/>
          <w:lang w:val="en-US" w:eastAsia="zh-CN"/>
        </w:rPr>
        <w:t>费、</w:t>
      </w:r>
      <w:r>
        <w:rPr>
          <w:rFonts w:hint="eastAsia"/>
          <w:color w:val="auto"/>
          <w:sz w:val="24"/>
          <w:szCs w:val="24"/>
          <w:highlight w:val="none"/>
          <w:shd w:val="clear" w:color="auto" w:fill="FFFFFF"/>
        </w:rPr>
        <w:t>验收费、手续费、包装费、运输费、保险费、安装费、调试费、培训费、售前、售中、售后服务费、税金及不可预见费等全部费用。</w:t>
      </w:r>
    </w:p>
    <w:p w14:paraId="185AD317">
      <w:pPr>
        <w:pStyle w:val="46"/>
        <w:spacing w:line="500" w:lineRule="exact"/>
        <w:ind w:firstLine="480" w:firstLineChars="200"/>
        <w:jc w:val="left"/>
        <w:rPr>
          <w:color w:val="auto"/>
          <w:sz w:val="24"/>
          <w:szCs w:val="24"/>
          <w:highlight w:val="none"/>
        </w:rPr>
      </w:pPr>
      <w:r>
        <w:rPr>
          <w:rFonts w:hint="eastAsia"/>
          <w:color w:val="auto"/>
          <w:sz w:val="24"/>
          <w:szCs w:val="24"/>
          <w:highlight w:val="none"/>
        </w:rPr>
        <w:t>三、交付时间、地点和要求</w:t>
      </w:r>
    </w:p>
    <w:p w14:paraId="1925E642">
      <w:pPr>
        <w:pStyle w:val="46"/>
        <w:tabs>
          <w:tab w:val="left" w:pos="674"/>
        </w:tabs>
        <w:spacing w:line="480" w:lineRule="exact"/>
        <w:ind w:firstLine="480" w:firstLineChars="200"/>
        <w:jc w:val="left"/>
        <w:rPr>
          <w:color w:val="auto"/>
          <w:sz w:val="24"/>
          <w:szCs w:val="24"/>
          <w:highlight w:val="none"/>
          <w:u w:val="single"/>
          <w:lang w:val="en-US" w:eastAsia="zh-CN"/>
        </w:rPr>
      </w:pPr>
      <w:r>
        <w:rPr>
          <w:rFonts w:hint="eastAsia"/>
          <w:color w:val="auto"/>
          <w:sz w:val="24"/>
          <w:szCs w:val="24"/>
          <w:highlight w:val="none"/>
          <w:lang w:val="en-US" w:eastAsia="zh-CN"/>
        </w:rPr>
        <w:t>1、交</w:t>
      </w:r>
      <w:r>
        <w:rPr>
          <w:rFonts w:hint="eastAsia"/>
          <w:color w:val="auto"/>
          <w:sz w:val="24"/>
          <w:szCs w:val="24"/>
          <w:highlight w:val="none"/>
        </w:rPr>
        <w:t>货期：</w:t>
      </w:r>
      <w:r>
        <w:rPr>
          <w:rFonts w:hint="eastAsia"/>
          <w:color w:val="auto"/>
          <w:sz w:val="24"/>
          <w:szCs w:val="24"/>
          <w:highlight w:val="none"/>
          <w:u w:val="single"/>
          <w:lang w:val="en-US" w:eastAsia="zh-CN"/>
        </w:rPr>
        <w:t xml:space="preserve">                    。</w:t>
      </w:r>
    </w:p>
    <w:p w14:paraId="764BDBC1">
      <w:pPr>
        <w:pStyle w:val="46"/>
        <w:tabs>
          <w:tab w:val="left" w:pos="674"/>
        </w:tabs>
        <w:spacing w:line="480" w:lineRule="exact"/>
        <w:ind w:firstLine="480" w:firstLineChars="200"/>
        <w:jc w:val="left"/>
        <w:rPr>
          <w:color w:val="auto"/>
          <w:sz w:val="24"/>
          <w:szCs w:val="24"/>
          <w:highlight w:val="none"/>
        </w:rPr>
      </w:pPr>
      <w:r>
        <w:rPr>
          <w:rFonts w:hint="eastAsia"/>
          <w:color w:val="auto"/>
          <w:sz w:val="24"/>
          <w:szCs w:val="24"/>
          <w:highlight w:val="none"/>
        </w:rPr>
        <w:t>交货地点：。</w:t>
      </w:r>
    </w:p>
    <w:p w14:paraId="1D804B2D">
      <w:pPr>
        <w:pStyle w:val="46"/>
        <w:tabs>
          <w:tab w:val="left" w:pos="683"/>
        </w:tabs>
        <w:spacing w:line="480" w:lineRule="exact"/>
        <w:ind w:firstLine="480" w:firstLineChars="200"/>
        <w:jc w:val="left"/>
        <w:rPr>
          <w:color w:val="auto"/>
          <w:sz w:val="24"/>
          <w:szCs w:val="24"/>
          <w:highlight w:val="none"/>
        </w:rPr>
      </w:pPr>
      <w:r>
        <w:rPr>
          <w:rFonts w:hint="eastAsia"/>
          <w:color w:val="auto"/>
          <w:sz w:val="24"/>
          <w:szCs w:val="24"/>
          <w:highlight w:val="none"/>
          <w:lang w:val="en-US" w:eastAsia="zh-CN"/>
        </w:rPr>
        <w:t>2、</w:t>
      </w:r>
      <w:r>
        <w:rPr>
          <w:rFonts w:hint="eastAsia"/>
          <w:color w:val="auto"/>
          <w:sz w:val="24"/>
          <w:szCs w:val="24"/>
          <w:highlight w:val="none"/>
        </w:rPr>
        <w:t>乙方提供不符合招投标文件和本合同规定的产品，甲方有权拒绝接受。</w:t>
      </w:r>
    </w:p>
    <w:p w14:paraId="4969A682">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3、乙方应将提供产品的装箱清单、用户手册、原厂保修卡、随机资料、工具和备品、备件等交付给甲方。</w:t>
      </w:r>
    </w:p>
    <w:p w14:paraId="37891AAA">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lang w:val="zh-CN"/>
        </w:rPr>
        <w:t>4、</w:t>
      </w:r>
      <w:r>
        <w:rPr>
          <w:rFonts w:hint="eastAsia" w:ascii="宋体" w:hAnsi="宋体" w:cs="宋体"/>
          <w:snapToGrid w:val="0"/>
          <w:kern w:val="0"/>
          <w:sz w:val="24"/>
          <w:highlight w:val="none"/>
        </w:rPr>
        <w:t>甲方应当在到货（安装、调试完）后个工作日内进行验收，逾期不验收的，乙方可视为验收合格。验收合格后，由甲乙双方签署产品验收单并加盖采购人公章，甲乙双方各执一份。</w:t>
      </w:r>
    </w:p>
    <w:p w14:paraId="13D3B07F">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5、甲方在验收过程中发现乙方有违约问题，可按招标文件、投标文件的规定要求乙方及时予以解决。</w:t>
      </w:r>
    </w:p>
    <w:p w14:paraId="7B2A4181">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6、乙方向甲方提供产品相关完税销售发票。</w:t>
      </w:r>
    </w:p>
    <w:p w14:paraId="27E18B7E">
      <w:pPr>
        <w:pStyle w:val="46"/>
        <w:spacing w:line="480" w:lineRule="exact"/>
        <w:ind w:firstLine="480" w:firstLineChars="200"/>
        <w:jc w:val="left"/>
        <w:rPr>
          <w:color w:val="auto"/>
          <w:sz w:val="24"/>
          <w:szCs w:val="24"/>
          <w:highlight w:val="none"/>
          <w:u w:val="single"/>
          <w:lang w:val="en-US" w:eastAsia="zh-CN" w:bidi="ar-SA"/>
        </w:rPr>
      </w:pPr>
      <w:r>
        <w:rPr>
          <w:rFonts w:hint="eastAsia"/>
          <w:color w:val="auto"/>
          <w:sz w:val="24"/>
          <w:szCs w:val="24"/>
          <w:highlight w:val="none"/>
        </w:rPr>
        <w:t>四、付款方式：</w:t>
      </w:r>
    </w:p>
    <w:p w14:paraId="516C5A14">
      <w:pPr>
        <w:pStyle w:val="46"/>
        <w:spacing w:line="480" w:lineRule="exact"/>
        <w:ind w:firstLine="480" w:firstLineChars="200"/>
        <w:jc w:val="left"/>
        <w:rPr>
          <w:color w:val="auto"/>
          <w:sz w:val="24"/>
          <w:szCs w:val="24"/>
          <w:highlight w:val="none"/>
        </w:rPr>
      </w:pPr>
      <w:r>
        <w:rPr>
          <w:rFonts w:hint="eastAsia"/>
          <w:color w:val="auto"/>
          <w:sz w:val="24"/>
          <w:szCs w:val="24"/>
          <w:highlight w:val="none"/>
        </w:rPr>
        <w:t>五、售后服务</w:t>
      </w:r>
    </w:p>
    <w:p w14:paraId="2FFC0184">
      <w:pPr>
        <w:pStyle w:val="46"/>
        <w:spacing w:line="480" w:lineRule="exact"/>
        <w:ind w:firstLine="480" w:firstLineChars="200"/>
        <w:jc w:val="left"/>
        <w:rPr>
          <w:color w:val="auto"/>
          <w:sz w:val="24"/>
          <w:szCs w:val="24"/>
          <w:highlight w:val="none"/>
        </w:rPr>
      </w:pPr>
      <w:r>
        <w:rPr>
          <w:rFonts w:hint="eastAsia"/>
          <w:color w:val="auto"/>
          <w:sz w:val="24"/>
          <w:szCs w:val="24"/>
          <w:highlight w:val="none"/>
        </w:rPr>
        <w:t>1</w:t>
      </w:r>
      <w:r>
        <w:rPr>
          <w:rFonts w:hint="eastAsia"/>
          <w:color w:val="auto"/>
          <w:sz w:val="24"/>
          <w:szCs w:val="24"/>
          <w:highlight w:val="none"/>
          <w:lang w:eastAsia="zh-CN"/>
        </w:rPr>
        <w:t>、</w:t>
      </w:r>
      <w:r>
        <w:rPr>
          <w:rFonts w:hint="eastAsia"/>
          <w:color w:val="auto"/>
          <w:sz w:val="24"/>
          <w:szCs w:val="24"/>
          <w:highlight w:val="none"/>
        </w:rPr>
        <w:t>免费质保期：；</w:t>
      </w:r>
    </w:p>
    <w:p w14:paraId="28534DB2">
      <w:pPr>
        <w:pStyle w:val="46"/>
        <w:spacing w:line="480" w:lineRule="exact"/>
        <w:ind w:firstLine="480" w:firstLineChars="200"/>
        <w:jc w:val="left"/>
        <w:rPr>
          <w:color w:val="auto"/>
          <w:sz w:val="24"/>
          <w:szCs w:val="24"/>
          <w:highlight w:val="none"/>
          <w:lang w:eastAsia="zh-CN"/>
        </w:rPr>
      </w:pPr>
      <w:r>
        <w:rPr>
          <w:rFonts w:hint="eastAsia"/>
          <w:color w:val="auto"/>
          <w:sz w:val="24"/>
          <w:szCs w:val="24"/>
          <w:highlight w:val="none"/>
        </w:rPr>
        <w:t>2、乙方严格按照招标文件中售后服务承诺进行售后服务</w:t>
      </w:r>
      <w:r>
        <w:rPr>
          <w:rFonts w:hint="eastAsia"/>
          <w:color w:val="auto"/>
          <w:sz w:val="24"/>
          <w:szCs w:val="24"/>
          <w:highlight w:val="none"/>
          <w:lang w:eastAsia="zh-CN"/>
        </w:rPr>
        <w:t>；</w:t>
      </w:r>
    </w:p>
    <w:p w14:paraId="46379D5A">
      <w:pPr>
        <w:pStyle w:val="46"/>
        <w:spacing w:line="480" w:lineRule="exact"/>
        <w:ind w:firstLine="480" w:firstLineChars="200"/>
        <w:jc w:val="left"/>
        <w:rPr>
          <w:color w:val="auto"/>
          <w:sz w:val="24"/>
          <w:szCs w:val="24"/>
          <w:highlight w:val="none"/>
          <w:u w:val="single"/>
          <w:lang w:val="en-US" w:eastAsia="zh-CN"/>
        </w:rPr>
      </w:pPr>
      <w:r>
        <w:rPr>
          <w:rFonts w:hint="eastAsia"/>
          <w:color w:val="auto"/>
          <w:sz w:val="24"/>
          <w:szCs w:val="24"/>
          <w:highlight w:val="none"/>
        </w:rPr>
        <w:t>3、其他要求</w:t>
      </w:r>
      <w:r>
        <w:rPr>
          <w:rFonts w:hint="eastAsia"/>
          <w:color w:val="auto"/>
          <w:sz w:val="24"/>
          <w:szCs w:val="24"/>
          <w:highlight w:val="none"/>
          <w:lang w:eastAsia="zh-CN"/>
        </w:rPr>
        <w:t>：</w:t>
      </w:r>
      <w:r>
        <w:rPr>
          <w:rFonts w:hint="eastAsia"/>
          <w:color w:val="auto"/>
          <w:sz w:val="24"/>
          <w:szCs w:val="24"/>
          <w:highlight w:val="none"/>
          <w:u w:val="single"/>
          <w:lang w:val="en-US" w:eastAsia="zh-CN"/>
        </w:rPr>
        <w:t xml:space="preserve">      /        </w:t>
      </w:r>
      <w:r>
        <w:rPr>
          <w:rFonts w:hint="eastAsia"/>
          <w:color w:val="auto"/>
          <w:sz w:val="24"/>
          <w:szCs w:val="24"/>
          <w:highlight w:val="none"/>
          <w:lang w:val="en-US" w:eastAsia="zh-CN"/>
        </w:rPr>
        <w:t>。</w:t>
      </w:r>
    </w:p>
    <w:p w14:paraId="3A4E490C">
      <w:pPr>
        <w:pStyle w:val="46"/>
        <w:spacing w:line="480" w:lineRule="exact"/>
        <w:ind w:firstLine="480" w:firstLineChars="200"/>
        <w:jc w:val="left"/>
        <w:rPr>
          <w:color w:val="auto"/>
          <w:sz w:val="24"/>
          <w:szCs w:val="24"/>
          <w:highlight w:val="none"/>
        </w:rPr>
      </w:pPr>
      <w:r>
        <w:rPr>
          <w:rFonts w:hint="eastAsia"/>
          <w:color w:val="auto"/>
          <w:sz w:val="24"/>
          <w:szCs w:val="24"/>
          <w:highlight w:val="none"/>
        </w:rPr>
        <w:t>六、合同的变更、终止与转让</w:t>
      </w:r>
    </w:p>
    <w:p w14:paraId="40EBC790">
      <w:pPr>
        <w:pStyle w:val="46"/>
        <w:spacing w:line="480" w:lineRule="exact"/>
        <w:ind w:firstLine="480" w:firstLineChars="200"/>
        <w:jc w:val="left"/>
        <w:rPr>
          <w:color w:val="auto"/>
          <w:sz w:val="24"/>
          <w:szCs w:val="24"/>
          <w:highlight w:val="none"/>
        </w:rPr>
      </w:pPr>
      <w:r>
        <w:rPr>
          <w:rFonts w:hint="eastAsia"/>
          <w:color w:val="auto"/>
          <w:sz w:val="24"/>
          <w:szCs w:val="24"/>
          <w:highlight w:val="none"/>
        </w:rPr>
        <w:t>1、除《中华人民共和国政府釆购法》第50条规定的情形外，本合同一经签订，甲乙双方不得擅自变更、中止或终止。</w:t>
      </w:r>
    </w:p>
    <w:p w14:paraId="40189F00">
      <w:pPr>
        <w:pStyle w:val="46"/>
        <w:spacing w:line="480" w:lineRule="exact"/>
        <w:ind w:firstLine="480" w:firstLineChars="200"/>
        <w:jc w:val="left"/>
        <w:rPr>
          <w:color w:val="auto"/>
          <w:sz w:val="24"/>
          <w:szCs w:val="24"/>
          <w:highlight w:val="none"/>
        </w:rPr>
      </w:pPr>
      <w:r>
        <w:rPr>
          <w:rFonts w:hint="eastAsia"/>
          <w:color w:val="auto"/>
          <w:sz w:val="24"/>
          <w:szCs w:val="24"/>
          <w:highlight w:val="none"/>
        </w:rPr>
        <w:t>2、乙方不得擅自转让其应履行的合同义务。</w:t>
      </w:r>
    </w:p>
    <w:p w14:paraId="2C4D8407">
      <w:pPr>
        <w:pStyle w:val="46"/>
        <w:spacing w:line="480" w:lineRule="exact"/>
        <w:ind w:firstLine="480" w:firstLineChars="200"/>
        <w:jc w:val="left"/>
        <w:rPr>
          <w:color w:val="auto"/>
          <w:sz w:val="24"/>
          <w:szCs w:val="24"/>
          <w:highlight w:val="none"/>
        </w:rPr>
      </w:pPr>
      <w:r>
        <w:rPr>
          <w:rFonts w:hint="eastAsia"/>
          <w:color w:val="auto"/>
          <w:sz w:val="24"/>
          <w:szCs w:val="24"/>
          <w:highlight w:val="none"/>
        </w:rPr>
        <w:t>七、违约责任</w:t>
      </w:r>
    </w:p>
    <w:p w14:paraId="1A008ACC">
      <w:pPr>
        <w:pStyle w:val="46"/>
        <w:spacing w:line="480" w:lineRule="exact"/>
        <w:ind w:firstLine="480" w:firstLineChars="200"/>
        <w:jc w:val="left"/>
        <w:rPr>
          <w:color w:val="auto"/>
          <w:sz w:val="24"/>
          <w:szCs w:val="24"/>
          <w:highlight w:val="none"/>
        </w:rPr>
      </w:pPr>
      <w:r>
        <w:rPr>
          <w:rFonts w:hint="eastAsia"/>
          <w:color w:val="auto"/>
          <w:sz w:val="24"/>
          <w:szCs w:val="24"/>
          <w:highlight w:val="none"/>
        </w:rPr>
        <w:t>1、乙方所提供的产品规格、技术标准、材料等质量不合格的，应及时更换；因质量问题甲方不同意接收的，由乙方赔偿由此引起的甲方的一切经济损失。</w:t>
      </w:r>
    </w:p>
    <w:p w14:paraId="41F1B251">
      <w:pPr>
        <w:pStyle w:val="46"/>
        <w:spacing w:line="480" w:lineRule="exact"/>
        <w:ind w:firstLine="480" w:firstLineChars="200"/>
        <w:jc w:val="left"/>
        <w:rPr>
          <w:color w:val="auto"/>
          <w:sz w:val="24"/>
          <w:szCs w:val="24"/>
          <w:highlight w:val="none"/>
        </w:rPr>
      </w:pPr>
      <w:r>
        <w:rPr>
          <w:rFonts w:hint="eastAsia"/>
          <w:color w:val="auto"/>
          <w:sz w:val="24"/>
          <w:szCs w:val="24"/>
          <w:highlight w:val="none"/>
        </w:rPr>
        <w:t>2、乙方提供的产品如侵犯了第三方权益而引发纠纷或诉讼的，均由乙方负责交涉并承担全部责任。</w:t>
      </w:r>
    </w:p>
    <w:p w14:paraId="17BA0240">
      <w:pPr>
        <w:pStyle w:val="46"/>
        <w:spacing w:line="480" w:lineRule="exact"/>
        <w:ind w:firstLine="480" w:firstLineChars="200"/>
        <w:jc w:val="left"/>
        <w:rPr>
          <w:color w:val="auto"/>
          <w:sz w:val="24"/>
          <w:szCs w:val="24"/>
          <w:highlight w:val="none"/>
        </w:rPr>
      </w:pPr>
      <w:r>
        <w:rPr>
          <w:rFonts w:hint="eastAsia"/>
          <w:color w:val="auto"/>
          <w:sz w:val="24"/>
          <w:szCs w:val="24"/>
          <w:highlight w:val="none"/>
        </w:rPr>
        <w:t>3、因包装、运输引起的产品损坏，由乙方负责。</w:t>
      </w:r>
    </w:p>
    <w:p w14:paraId="3ECFB2F1">
      <w:pPr>
        <w:pStyle w:val="46"/>
        <w:spacing w:line="480" w:lineRule="exact"/>
        <w:ind w:firstLine="480" w:firstLineChars="200"/>
        <w:jc w:val="left"/>
        <w:rPr>
          <w:color w:val="auto"/>
          <w:sz w:val="24"/>
          <w:szCs w:val="24"/>
          <w:highlight w:val="none"/>
        </w:rPr>
      </w:pPr>
      <w:r>
        <w:rPr>
          <w:rFonts w:hint="eastAsia"/>
          <w:color w:val="auto"/>
          <w:sz w:val="24"/>
          <w:szCs w:val="24"/>
          <w:highlight w:val="none"/>
        </w:rPr>
        <w:t>4、甲方无故延期接受产品和乙方逾期交货的，每天应向对方偿付未交产品的货款3</w:t>
      </w:r>
      <w:r>
        <w:rPr>
          <w:rFonts w:hint="eastAsia"/>
          <w:color w:val="auto"/>
          <w:sz w:val="24"/>
          <w:szCs w:val="24"/>
          <w:highlight w:val="none"/>
          <w:lang w:eastAsia="zh-CN"/>
        </w:rPr>
        <w:t>‰</w:t>
      </w:r>
      <w:r>
        <w:rPr>
          <w:rFonts w:hint="eastAsia"/>
          <w:color w:val="auto"/>
          <w:sz w:val="24"/>
          <w:szCs w:val="24"/>
          <w:highlight w:val="none"/>
        </w:rPr>
        <w:t>的违约金，但违约金累计不得超过违约货款的5%</w:t>
      </w:r>
      <w:r>
        <w:rPr>
          <w:rFonts w:hint="eastAsia"/>
          <w:color w:val="auto"/>
          <w:sz w:val="24"/>
          <w:szCs w:val="24"/>
          <w:highlight w:val="none"/>
          <w:lang w:eastAsia="zh-CN"/>
        </w:rPr>
        <w:t>，</w:t>
      </w:r>
      <w:r>
        <w:rPr>
          <w:rFonts w:hint="eastAsia"/>
          <w:color w:val="auto"/>
          <w:sz w:val="24"/>
          <w:szCs w:val="24"/>
          <w:highlight w:val="none"/>
        </w:rPr>
        <w:t>超过天对方有权解除合同</w:t>
      </w:r>
      <w:r>
        <w:rPr>
          <w:rFonts w:hint="eastAsia"/>
          <w:color w:val="auto"/>
          <w:sz w:val="24"/>
          <w:szCs w:val="24"/>
          <w:highlight w:val="none"/>
          <w:lang w:eastAsia="zh-CN"/>
        </w:rPr>
        <w:t>，</w:t>
      </w:r>
      <w:r>
        <w:rPr>
          <w:rFonts w:hint="eastAsia"/>
          <w:color w:val="auto"/>
          <w:sz w:val="24"/>
          <w:szCs w:val="24"/>
          <w:highlight w:val="none"/>
        </w:rPr>
        <w:t>违约方承担因此给对方造成的经济损失。</w:t>
      </w:r>
    </w:p>
    <w:p w14:paraId="6DD800B0">
      <w:pPr>
        <w:pStyle w:val="46"/>
        <w:spacing w:line="480" w:lineRule="exact"/>
        <w:ind w:firstLine="480" w:firstLineChars="200"/>
        <w:jc w:val="left"/>
        <w:rPr>
          <w:color w:val="auto"/>
          <w:sz w:val="24"/>
          <w:szCs w:val="24"/>
          <w:highlight w:val="none"/>
        </w:rPr>
      </w:pPr>
      <w:r>
        <w:rPr>
          <w:rFonts w:hint="eastAsia"/>
          <w:color w:val="auto"/>
          <w:sz w:val="24"/>
          <w:szCs w:val="24"/>
          <w:highlight w:val="none"/>
        </w:rPr>
        <w:t>5、乙方未按本合同和投标文件中规定的服务承诺提供售后服务的，乙方应按本合同合计金额的1%向甲方支付违约金。</w:t>
      </w:r>
    </w:p>
    <w:p w14:paraId="78AE94F9">
      <w:pPr>
        <w:pStyle w:val="46"/>
        <w:spacing w:line="480" w:lineRule="exact"/>
        <w:ind w:firstLine="480" w:firstLineChars="200"/>
        <w:jc w:val="left"/>
        <w:rPr>
          <w:color w:val="auto"/>
          <w:sz w:val="24"/>
          <w:szCs w:val="24"/>
          <w:highlight w:val="none"/>
        </w:rPr>
      </w:pPr>
      <w:r>
        <w:rPr>
          <w:rFonts w:hint="eastAsia"/>
          <w:color w:val="auto"/>
          <w:sz w:val="24"/>
          <w:szCs w:val="24"/>
          <w:highlight w:val="none"/>
        </w:rPr>
        <w:t>6、乙方提供的产品在质量保证期内，因设计、工艺或材料的缺陷</w:t>
      </w:r>
      <w:r>
        <w:rPr>
          <w:rFonts w:hint="eastAsia"/>
          <w:color w:val="auto"/>
          <w:sz w:val="24"/>
          <w:szCs w:val="24"/>
          <w:highlight w:val="none"/>
          <w:lang w:eastAsia="zh-CN"/>
        </w:rPr>
        <w:t>和其他</w:t>
      </w:r>
      <w:r>
        <w:rPr>
          <w:rFonts w:hint="eastAsia"/>
          <w:color w:val="auto"/>
          <w:sz w:val="24"/>
          <w:szCs w:val="24"/>
          <w:highlight w:val="none"/>
        </w:rPr>
        <w:t>质量原因造成的问题，由乙方负责，费用从履约保证金中扣除，不足另补。</w:t>
      </w:r>
    </w:p>
    <w:p w14:paraId="4759EBC8">
      <w:pPr>
        <w:pStyle w:val="46"/>
        <w:spacing w:line="480" w:lineRule="exact"/>
        <w:ind w:firstLine="480" w:firstLineChars="200"/>
        <w:jc w:val="left"/>
        <w:rPr>
          <w:color w:val="auto"/>
          <w:sz w:val="24"/>
          <w:szCs w:val="24"/>
          <w:highlight w:val="none"/>
        </w:rPr>
      </w:pPr>
      <w:r>
        <w:rPr>
          <w:rFonts w:hint="eastAsia"/>
          <w:color w:val="auto"/>
          <w:sz w:val="24"/>
          <w:szCs w:val="24"/>
          <w:highlight w:val="none"/>
        </w:rPr>
        <w:t>八、不可抗力</w:t>
      </w:r>
    </w:p>
    <w:p w14:paraId="1A1059D0">
      <w:pPr>
        <w:pStyle w:val="46"/>
        <w:spacing w:line="480" w:lineRule="exact"/>
        <w:ind w:firstLine="480" w:firstLineChars="200"/>
        <w:jc w:val="left"/>
        <w:rPr>
          <w:color w:val="auto"/>
          <w:sz w:val="24"/>
          <w:szCs w:val="24"/>
          <w:highlight w:val="none"/>
        </w:rPr>
      </w:pPr>
      <w:r>
        <w:rPr>
          <w:rFonts w:hint="eastAsia"/>
          <w:color w:val="auto"/>
          <w:sz w:val="24"/>
          <w:szCs w:val="24"/>
          <w:highlight w:val="none"/>
        </w:rPr>
        <w:t>不可抗力使合同的某些内容有变更必要的，双方应通过协商在天内达成进一步履行合同的协议，因不可抗力致使合同不能履行的，合同终止。</w:t>
      </w:r>
    </w:p>
    <w:p w14:paraId="6D723D86">
      <w:pPr>
        <w:pStyle w:val="46"/>
        <w:spacing w:line="480" w:lineRule="exact"/>
        <w:ind w:firstLine="480" w:firstLineChars="200"/>
        <w:jc w:val="left"/>
        <w:rPr>
          <w:color w:val="auto"/>
          <w:sz w:val="24"/>
          <w:szCs w:val="24"/>
          <w:highlight w:val="none"/>
        </w:rPr>
      </w:pPr>
      <w:r>
        <w:rPr>
          <w:rFonts w:hint="eastAsia"/>
          <w:color w:val="auto"/>
          <w:sz w:val="24"/>
          <w:szCs w:val="24"/>
          <w:highlight w:val="none"/>
        </w:rPr>
        <w:t>九、知识产权：乙方保证向甲方提供的产品不侵害任何第三方的知识产权，否则，由乙方赔偿甲方因此遭受的经济损失。</w:t>
      </w:r>
    </w:p>
    <w:p w14:paraId="0FA18A0D">
      <w:pPr>
        <w:pStyle w:val="46"/>
        <w:spacing w:line="480" w:lineRule="exact"/>
        <w:ind w:firstLine="480" w:firstLineChars="200"/>
        <w:jc w:val="left"/>
        <w:rPr>
          <w:color w:val="auto"/>
          <w:sz w:val="24"/>
          <w:szCs w:val="24"/>
          <w:highlight w:val="none"/>
          <w:u w:val="single"/>
          <w:lang w:val="en-US" w:eastAsia="zh-CN"/>
        </w:rPr>
      </w:pPr>
      <w:r>
        <w:rPr>
          <w:rFonts w:hint="eastAsia"/>
          <w:color w:val="auto"/>
          <w:sz w:val="24"/>
          <w:szCs w:val="24"/>
          <w:highlight w:val="none"/>
        </w:rPr>
        <w:t>十、其他约定：</w:t>
      </w:r>
      <w:r>
        <w:rPr>
          <w:rFonts w:hint="eastAsia"/>
          <w:color w:val="auto"/>
          <w:sz w:val="24"/>
          <w:szCs w:val="24"/>
          <w:highlight w:val="none"/>
          <w:u w:val="single"/>
          <w:lang w:val="en-US" w:eastAsia="zh-CN"/>
        </w:rPr>
        <w:t xml:space="preserve">   /   </w:t>
      </w:r>
    </w:p>
    <w:p w14:paraId="136E17F8">
      <w:pPr>
        <w:pStyle w:val="46"/>
        <w:spacing w:line="480" w:lineRule="exact"/>
        <w:ind w:firstLine="480" w:firstLineChars="200"/>
        <w:jc w:val="left"/>
        <w:rPr>
          <w:color w:val="auto"/>
          <w:sz w:val="24"/>
          <w:szCs w:val="24"/>
          <w:highlight w:val="none"/>
        </w:rPr>
      </w:pPr>
      <w:r>
        <w:rPr>
          <w:rFonts w:hint="eastAsia"/>
          <w:color w:val="auto"/>
          <w:sz w:val="24"/>
          <w:szCs w:val="24"/>
          <w:highlight w:val="none"/>
        </w:rPr>
        <w:t>十一、合同争议解决</w:t>
      </w:r>
    </w:p>
    <w:p w14:paraId="431F92A1">
      <w:pPr>
        <w:pStyle w:val="46"/>
        <w:spacing w:line="480" w:lineRule="exact"/>
        <w:ind w:firstLine="480" w:firstLineChars="200"/>
        <w:jc w:val="left"/>
        <w:rPr>
          <w:color w:val="auto"/>
          <w:kern w:val="0"/>
          <w:sz w:val="24"/>
          <w:szCs w:val="24"/>
          <w:highlight w:val="none"/>
          <w:lang w:eastAsia="zh-CN"/>
        </w:rPr>
      </w:pPr>
      <w:r>
        <w:rPr>
          <w:rFonts w:hint="eastAsia"/>
          <w:color w:val="auto"/>
          <w:kern w:val="0"/>
          <w:sz w:val="24"/>
          <w:szCs w:val="24"/>
          <w:highlight w:val="none"/>
        </w:rPr>
        <w:t>因履行合同发生的争议，由供需双方友好协商解决，如协商不成，任何一方可向叶县人民法院提起诉讼</w:t>
      </w:r>
      <w:r>
        <w:rPr>
          <w:rFonts w:hint="eastAsia"/>
          <w:color w:val="auto"/>
          <w:kern w:val="0"/>
          <w:sz w:val="24"/>
          <w:szCs w:val="24"/>
          <w:highlight w:val="none"/>
          <w:lang w:eastAsia="zh-CN"/>
        </w:rPr>
        <w:t>。</w:t>
      </w:r>
    </w:p>
    <w:p w14:paraId="4ECFF507">
      <w:pPr>
        <w:pStyle w:val="46"/>
        <w:spacing w:line="480" w:lineRule="exact"/>
        <w:ind w:firstLine="480" w:firstLineChars="200"/>
        <w:jc w:val="left"/>
        <w:rPr>
          <w:color w:val="auto"/>
          <w:sz w:val="24"/>
          <w:szCs w:val="24"/>
          <w:highlight w:val="none"/>
        </w:rPr>
      </w:pPr>
      <w:r>
        <w:rPr>
          <w:rFonts w:hint="eastAsia"/>
          <w:color w:val="auto"/>
          <w:sz w:val="24"/>
          <w:szCs w:val="24"/>
          <w:highlight w:val="none"/>
        </w:rPr>
        <w:t>十二、合同生效</w:t>
      </w:r>
      <w:r>
        <w:rPr>
          <w:rFonts w:hint="eastAsia"/>
          <w:color w:val="auto"/>
          <w:sz w:val="24"/>
          <w:szCs w:val="24"/>
          <w:highlight w:val="none"/>
          <w:lang w:eastAsia="zh-CN"/>
        </w:rPr>
        <w:t>及其他</w:t>
      </w:r>
      <w:r>
        <w:rPr>
          <w:rFonts w:hint="eastAsia"/>
          <w:color w:val="auto"/>
          <w:sz w:val="24"/>
          <w:szCs w:val="24"/>
          <w:highlight w:val="none"/>
        </w:rPr>
        <w:t>：</w:t>
      </w:r>
    </w:p>
    <w:p w14:paraId="6B7EFA82">
      <w:pPr>
        <w:pStyle w:val="46"/>
        <w:tabs>
          <w:tab w:val="left" w:pos="671"/>
        </w:tabs>
        <w:spacing w:line="480" w:lineRule="exact"/>
        <w:ind w:firstLine="480" w:firstLineChars="200"/>
        <w:jc w:val="left"/>
        <w:rPr>
          <w:color w:val="auto"/>
          <w:sz w:val="24"/>
          <w:szCs w:val="24"/>
          <w:highlight w:val="none"/>
        </w:rPr>
      </w:pPr>
      <w:r>
        <w:rPr>
          <w:rFonts w:hint="eastAsia"/>
          <w:color w:val="auto"/>
          <w:sz w:val="24"/>
          <w:szCs w:val="24"/>
          <w:highlight w:val="none"/>
        </w:rPr>
        <w:t>1、本合同一式份</w:t>
      </w:r>
      <w:r>
        <w:rPr>
          <w:rFonts w:hint="eastAsia"/>
          <w:color w:val="auto"/>
          <w:sz w:val="24"/>
          <w:szCs w:val="24"/>
          <w:highlight w:val="none"/>
          <w:lang w:eastAsia="zh-CN"/>
        </w:rPr>
        <w:t>，</w:t>
      </w:r>
      <w:r>
        <w:rPr>
          <w:rFonts w:hint="eastAsia"/>
          <w:color w:val="auto"/>
          <w:sz w:val="24"/>
          <w:szCs w:val="24"/>
          <w:highlight w:val="none"/>
          <w:lang w:val="en-US" w:eastAsia="zh-CN"/>
        </w:rPr>
        <w:t>双方各执份</w:t>
      </w:r>
      <w:r>
        <w:rPr>
          <w:rFonts w:hint="eastAsia"/>
          <w:color w:val="auto"/>
          <w:sz w:val="24"/>
          <w:szCs w:val="24"/>
          <w:highlight w:val="none"/>
        </w:rPr>
        <w:t>经双方签字，并加盖公章即为生效。</w:t>
      </w:r>
    </w:p>
    <w:p w14:paraId="2A102970">
      <w:pPr>
        <w:pStyle w:val="46"/>
        <w:tabs>
          <w:tab w:val="left" w:pos="683"/>
        </w:tabs>
        <w:spacing w:line="480" w:lineRule="exact"/>
        <w:ind w:firstLine="480" w:firstLineChars="200"/>
        <w:jc w:val="left"/>
        <w:rPr>
          <w:color w:val="auto"/>
          <w:sz w:val="24"/>
          <w:szCs w:val="24"/>
          <w:highlight w:val="none"/>
        </w:rPr>
      </w:pPr>
      <w:r>
        <w:rPr>
          <w:rFonts w:hint="eastAsia"/>
          <w:color w:val="auto"/>
          <w:sz w:val="24"/>
          <w:szCs w:val="24"/>
          <w:highlight w:val="none"/>
        </w:rPr>
        <w:t>2、本合同未尽事宜，按经济合同法有关规定处理。</w:t>
      </w:r>
    </w:p>
    <w:p w14:paraId="4BAC4AB6">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u w:val="single"/>
        </w:rPr>
      </w:pPr>
      <w:r>
        <w:rPr>
          <w:rFonts w:hint="eastAsia" w:ascii="宋体" w:hAnsi="宋体" w:cs="宋体"/>
          <w:snapToGrid w:val="0"/>
          <w:kern w:val="0"/>
          <w:sz w:val="24"/>
          <w:highlight w:val="none"/>
        </w:rPr>
        <w:t>甲方（盖章）：</w:t>
      </w:r>
    </w:p>
    <w:p w14:paraId="6F4A84F0">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u w:val="single"/>
        </w:rPr>
      </w:pPr>
      <w:r>
        <w:rPr>
          <w:rFonts w:hint="eastAsia" w:ascii="宋体" w:hAnsi="宋体" w:cs="宋体"/>
          <w:snapToGrid w:val="0"/>
          <w:kern w:val="0"/>
          <w:sz w:val="24"/>
          <w:highlight w:val="none"/>
        </w:rPr>
        <w:t>法定代表人或委托代理人：</w:t>
      </w:r>
    </w:p>
    <w:p w14:paraId="1CA4BAF7">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u w:val="single"/>
        </w:rPr>
      </w:pPr>
      <w:r>
        <w:rPr>
          <w:rFonts w:hint="eastAsia" w:ascii="宋体" w:hAnsi="宋体" w:cs="宋体"/>
          <w:snapToGrid w:val="0"/>
          <w:kern w:val="0"/>
          <w:sz w:val="24"/>
          <w:highlight w:val="none"/>
        </w:rPr>
        <w:t>地址：</w:t>
      </w:r>
    </w:p>
    <w:p w14:paraId="4B21F748">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u w:val="single"/>
        </w:rPr>
      </w:pPr>
      <w:r>
        <w:rPr>
          <w:rFonts w:hint="eastAsia" w:ascii="宋体" w:hAnsi="宋体" w:cs="宋体"/>
          <w:snapToGrid w:val="0"/>
          <w:kern w:val="0"/>
          <w:sz w:val="24"/>
          <w:highlight w:val="none"/>
        </w:rPr>
        <w:t>联系电话：</w:t>
      </w:r>
    </w:p>
    <w:p w14:paraId="78B62ED3">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签订时间：年月日</w:t>
      </w:r>
    </w:p>
    <w:p w14:paraId="317F82CE">
      <w:pPr>
        <w:widowControl/>
        <w:kinsoku w:val="0"/>
        <w:autoSpaceDE w:val="0"/>
        <w:autoSpaceDN w:val="0"/>
        <w:adjustRightInd w:val="0"/>
        <w:snapToGrid w:val="0"/>
        <w:spacing w:line="480" w:lineRule="exact"/>
        <w:ind w:firstLine="480" w:firstLineChars="200"/>
        <w:jc w:val="left"/>
        <w:textAlignment w:val="baseline"/>
        <w:rPr>
          <w:rFonts w:ascii="宋体" w:hAnsi="宋体" w:cs="宋体"/>
          <w:b/>
          <w:bCs/>
          <w:snapToGrid w:val="0"/>
          <w:kern w:val="0"/>
          <w:sz w:val="24"/>
          <w:highlight w:val="none"/>
        </w:rPr>
      </w:pPr>
      <w:r>
        <w:rPr>
          <w:rFonts w:hint="eastAsia" w:ascii="宋体" w:hAnsi="宋体" w:cs="宋体"/>
          <w:snapToGrid w:val="0"/>
          <w:kern w:val="0"/>
          <w:sz w:val="24"/>
          <w:highlight w:val="none"/>
        </w:rPr>
        <w:t>乙方（盖章）：</w:t>
      </w:r>
    </w:p>
    <w:p w14:paraId="00A50763">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法定代表人或委托代理人：</w:t>
      </w:r>
    </w:p>
    <w:p w14:paraId="0ADE1296">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开户银行：</w:t>
      </w:r>
    </w:p>
    <w:p w14:paraId="62095B92">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账号：</w:t>
      </w:r>
    </w:p>
    <w:p w14:paraId="2F87E822">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地址：</w:t>
      </w:r>
    </w:p>
    <w:p w14:paraId="32375448">
      <w:pPr>
        <w:widowControl/>
        <w:kinsoku w:val="0"/>
        <w:autoSpaceDE w:val="0"/>
        <w:autoSpaceDN w:val="0"/>
        <w:adjustRightInd w:val="0"/>
        <w:snapToGrid w:val="0"/>
        <w:spacing w:line="480" w:lineRule="exact"/>
        <w:ind w:firstLine="480" w:firstLineChars="200"/>
        <w:jc w:val="left"/>
        <w:textAlignment w:val="baseline"/>
        <w:rPr>
          <w:rFonts w:ascii="宋体" w:hAnsi="宋体" w:cs="宋体"/>
          <w:snapToGrid w:val="0"/>
          <w:kern w:val="0"/>
          <w:sz w:val="24"/>
          <w:highlight w:val="none"/>
        </w:rPr>
      </w:pPr>
      <w:r>
        <w:rPr>
          <w:rFonts w:hint="eastAsia" w:ascii="宋体" w:hAnsi="宋体" w:cs="宋体"/>
          <w:snapToGrid w:val="0"/>
          <w:kern w:val="0"/>
          <w:sz w:val="24"/>
          <w:highlight w:val="none"/>
        </w:rPr>
        <w:t>联系电话：</w:t>
      </w:r>
    </w:p>
    <w:p w14:paraId="655192F8">
      <w:pPr>
        <w:widowControl/>
        <w:kinsoku w:val="0"/>
        <w:autoSpaceDE w:val="0"/>
        <w:autoSpaceDN w:val="0"/>
        <w:adjustRightInd w:val="0"/>
        <w:snapToGrid w:val="0"/>
        <w:spacing w:line="480" w:lineRule="exact"/>
        <w:ind w:firstLine="480" w:firstLineChars="200"/>
        <w:jc w:val="left"/>
        <w:textAlignment w:val="baseline"/>
        <w:rPr>
          <w:rFonts w:ascii="宋体" w:hAnsi="宋体" w:cs="宋体"/>
          <w:sz w:val="20"/>
          <w:highlight w:val="none"/>
        </w:rPr>
      </w:pPr>
      <w:r>
        <w:rPr>
          <w:rFonts w:hint="eastAsia" w:ascii="宋体" w:hAnsi="宋体" w:cs="宋体"/>
          <w:snapToGrid w:val="0"/>
          <w:kern w:val="0"/>
          <w:sz w:val="24"/>
          <w:highlight w:val="none"/>
        </w:rPr>
        <w:t>签订时间：年月日</w:t>
      </w:r>
    </w:p>
    <w:p w14:paraId="28F36473">
      <w:pPr>
        <w:rPr>
          <w:rFonts w:ascii="宋体" w:hAnsi="宋体" w:cs="宋体"/>
          <w:highlight w:val="none"/>
        </w:rPr>
      </w:pPr>
      <w:r>
        <w:rPr>
          <w:rFonts w:hint="eastAsia" w:ascii="宋体" w:hAnsi="宋体" w:cs="宋体"/>
          <w:highlight w:val="none"/>
        </w:rPr>
        <w:br w:type="page"/>
      </w:r>
    </w:p>
    <w:p w14:paraId="0BE74D1F">
      <w:pPr>
        <w:pStyle w:val="10"/>
        <w:rPr>
          <w:highlight w:val="none"/>
        </w:rPr>
      </w:pPr>
      <w:bookmarkStart w:id="33" w:name="_Toc12230"/>
      <w:r>
        <w:rPr>
          <w:rFonts w:hint="eastAsia"/>
          <w:highlight w:val="none"/>
        </w:rPr>
        <w:t>第五章</w:t>
      </w:r>
      <w:r>
        <w:rPr>
          <w:rFonts w:hint="eastAsia"/>
          <w:highlight w:val="none"/>
          <w:lang w:val="en-US" w:eastAsia="zh-CN"/>
        </w:rPr>
        <w:t xml:space="preserve">  </w:t>
      </w:r>
      <w:r>
        <w:rPr>
          <w:rFonts w:hint="eastAsia"/>
          <w:highlight w:val="none"/>
          <w:lang w:val="en-US"/>
        </w:rPr>
        <w:t>采购</w:t>
      </w:r>
      <w:r>
        <w:rPr>
          <w:rFonts w:hint="eastAsia"/>
          <w:highlight w:val="none"/>
        </w:rPr>
        <w:t>内容及要求</w:t>
      </w:r>
      <w:bookmarkEnd w:id="33"/>
      <w:bookmarkStart w:id="34" w:name="_Toc19058"/>
      <w:bookmarkStart w:id="35" w:name="_Toc24485"/>
    </w:p>
    <w:tbl>
      <w:tblPr>
        <w:tblStyle w:val="24"/>
        <w:tblW w:w="9348" w:type="dxa"/>
        <w:jc w:val="center"/>
        <w:tblLayout w:type="fixed"/>
        <w:tblCellMar>
          <w:top w:w="32" w:type="dxa"/>
          <w:left w:w="64" w:type="dxa"/>
          <w:bottom w:w="32" w:type="dxa"/>
          <w:right w:w="64" w:type="dxa"/>
        </w:tblCellMar>
      </w:tblPr>
      <w:tblGrid>
        <w:gridCol w:w="480"/>
        <w:gridCol w:w="1074"/>
        <w:gridCol w:w="6609"/>
        <w:gridCol w:w="705"/>
        <w:gridCol w:w="480"/>
      </w:tblGrid>
      <w:tr w14:paraId="6AB1BDBB">
        <w:tblPrEx>
          <w:tblCellMar>
            <w:top w:w="32" w:type="dxa"/>
            <w:left w:w="64" w:type="dxa"/>
            <w:bottom w:w="32" w:type="dxa"/>
            <w:right w:w="64" w:type="dxa"/>
          </w:tblCellMar>
        </w:tblPrEx>
        <w:trPr>
          <w:tblHeader/>
          <w:jc w:val="center"/>
        </w:trPr>
        <w:tc>
          <w:tcPr>
            <w:tcW w:w="934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5050">
            <w:pPr>
              <w:widowControl/>
              <w:snapToGrid w:val="0"/>
              <w:spacing w:line="240" w:lineRule="auto"/>
              <w:jc w:val="center"/>
              <w:textAlignment w:val="center"/>
              <w:rPr>
                <w:rFonts w:hint="eastAsia" w:ascii="宋体" w:hAnsi="宋体" w:eastAsia="宋体" w:cs="宋体"/>
                <w:b/>
                <w:bCs/>
                <w:color w:val="auto"/>
                <w:sz w:val="21"/>
                <w:szCs w:val="21"/>
                <w:highlight w:val="none"/>
              </w:rPr>
            </w:pPr>
            <w:bookmarkStart w:id="36" w:name="_Toc9710"/>
            <w:bookmarkStart w:id="37" w:name="_Toc26127"/>
            <w:r>
              <w:rPr>
                <w:rFonts w:hint="eastAsia" w:ascii="宋体" w:hAnsi="宋体" w:eastAsia="宋体" w:cs="宋体"/>
                <w:b/>
                <w:bCs/>
                <w:color w:val="auto"/>
                <w:kern w:val="0"/>
                <w:sz w:val="21"/>
                <w:szCs w:val="21"/>
                <w:highlight w:val="none"/>
              </w:rPr>
              <w:t>叶县公安局执法办案中心设备采购项目</w:t>
            </w:r>
          </w:p>
        </w:tc>
      </w:tr>
      <w:tr w14:paraId="74C2482E">
        <w:tblPrEx>
          <w:tblCellMar>
            <w:top w:w="32" w:type="dxa"/>
            <w:left w:w="64" w:type="dxa"/>
            <w:bottom w:w="32" w:type="dxa"/>
            <w:right w:w="64" w:type="dxa"/>
          </w:tblCellMar>
        </w:tblPrEx>
        <w:trPr>
          <w:trHeight w:val="423" w:hRule="atLeast"/>
          <w:tblHeade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7399">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84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名称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FC34">
            <w:pPr>
              <w:widowControl/>
              <w:snapToGrid w:val="0"/>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参数</w:t>
            </w:r>
            <w:r>
              <w:rPr>
                <w:rFonts w:hint="eastAsia" w:ascii="宋体" w:hAnsi="宋体" w:eastAsia="宋体" w:cs="宋体"/>
                <w:color w:val="auto"/>
                <w:kern w:val="0"/>
                <w:sz w:val="21"/>
                <w:szCs w:val="21"/>
                <w:highlight w:val="none"/>
                <w:lang w:val="en-US" w:eastAsia="zh-CN"/>
              </w:rPr>
              <w:t>及要求</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EC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数量</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3C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单位</w:t>
            </w:r>
          </w:p>
        </w:tc>
      </w:tr>
      <w:tr w14:paraId="06FB572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870E">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D26E1">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（一）登记大厅、武器警械室</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2A06">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3552">
            <w:pPr>
              <w:snapToGrid w:val="0"/>
              <w:spacing w:line="240" w:lineRule="auto"/>
              <w:jc w:val="center"/>
              <w:rPr>
                <w:rFonts w:hint="eastAsia" w:ascii="宋体" w:hAnsi="宋体" w:eastAsia="宋体" w:cs="宋体"/>
                <w:color w:val="auto"/>
                <w:sz w:val="21"/>
                <w:szCs w:val="21"/>
                <w:highlight w:val="none"/>
              </w:rPr>
            </w:pPr>
          </w:p>
        </w:tc>
      </w:tr>
      <w:tr w14:paraId="010A958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602D">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E748">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1.1、录音录像设备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4DC1">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B075">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951E2">
            <w:pPr>
              <w:snapToGrid w:val="0"/>
              <w:spacing w:line="240" w:lineRule="auto"/>
              <w:jc w:val="center"/>
              <w:rPr>
                <w:rFonts w:hint="eastAsia" w:ascii="宋体" w:hAnsi="宋体" w:eastAsia="宋体" w:cs="宋体"/>
                <w:color w:val="auto"/>
                <w:sz w:val="21"/>
                <w:szCs w:val="21"/>
                <w:highlight w:val="none"/>
              </w:rPr>
            </w:pPr>
          </w:p>
        </w:tc>
      </w:tr>
      <w:tr w14:paraId="778BC2C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C8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B8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645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0F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6B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427B36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68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EE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4A6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28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5F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5432A8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67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69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单目全景摄像机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6BF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 图像分辨率不低于1920*1080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3、接口要求不少于：1路RJ45网络接口、1路音频输入、1路音频输出、1个RS485接口、2路报警输入、1路报警输出、1个复位、1个内置SD卡接口、1个内置扬声器、2个内置麦克风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4、支持H.265、H.264（MP/HP/BP）、M-JPEG等视频编码标准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5、彩色分辨力不低于1900TVL，分辨率不低于2592*1944</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6、亮度等级不低于11级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 支持畸变矫正和远端放大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8、水平视场角≥140°，垂直视场角≥100°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9、支持三码流输出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10、支持回声抑制、音频降噪等功能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11、支持语音对讲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12、支持强光抑制、背光补偿、数字降噪、透雾、电子防抖、场景设置、走廊模式功能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59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4C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D8C7C51">
        <w:tblPrEx>
          <w:tblCellMar>
            <w:top w:w="32" w:type="dxa"/>
            <w:left w:w="64" w:type="dxa"/>
            <w:bottom w:w="32" w:type="dxa"/>
            <w:right w:w="64" w:type="dxa"/>
          </w:tblCellMar>
        </w:tblPrEx>
        <w:trPr>
          <w:trHeight w:val="9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79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369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人证核验设备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3C3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1、人证比对：支持拍摄人脸照片，设备具备智能语音提示功能指导验证过程，保证人证一致比对的准确性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2、人脸识别：配置高清双目摄像头，智能逆光补偿，增强人脸轮廓边缘，有利于人脸识别，通过程序自动化采集人脸照片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3、身份证识别：内置公安部最新推出居民身份证阅读器，可自动读取居民身份证芯片中的文字、人脸等特征信息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358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DFC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5E5B83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B6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25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电子签名、指纹捺印设备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B82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1、电子签名捺印：应具备指纹采集、电子签名等功能的智能专用设备，相关人员可通过设备获得所需的签名捺印的服务；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2、同步录音录像：应实现电子签章、电子指纹采集过程同步录影录像，实现证据链的不间断和可追溯性；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3、多应用服务：终端应内置安卓系统，提供原笔迹签名、信息交互、人像拍照、录音录像、等多种成熟应用；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4、高集成度：终端应集成了视频、音频（录/播）、笔迹书写等诸多功能模块；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数据安全：终端应内置国密芯片，对整机的用户静态数据都能进行加密处理，保障用户的静态数据安全。当终端进行数据传输时，传输数据可采用加密+签名的手段，保证数据传输过程的保密性和防篡改，保障数据传输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D9E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33B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CB6AE1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291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C7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高拍仪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63D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1、小巧便携，产品可折叠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2、最大拍摄A4幅面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3、高清晰定焦镜头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4、标配LED三级调光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6E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5A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6FC0A9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DA55">
            <w:pPr>
              <w:widowControl/>
              <w:snapToGrid w:val="0"/>
              <w:spacing w:line="24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2012">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rPr>
              <w:t>小间距LED显示屏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5E5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1、像素间距≤1.5625mm;像素密度≥409600dots/m²;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2、产品宽高比</w:t>
            </w:r>
            <w:r>
              <w:rPr>
                <w:rFonts w:hint="eastAsia" w:ascii="宋体" w:hAnsi="宋体" w:eastAsia="宋体" w:cs="宋体"/>
                <w:color w:val="auto"/>
                <w:kern w:val="0"/>
                <w:sz w:val="21"/>
                <w:szCs w:val="21"/>
                <w:highlight w:val="none"/>
                <w:lang w:val="en-US" w:eastAsia="zh-CN"/>
              </w:rPr>
              <w:t>应为</w:t>
            </w:r>
            <w:r>
              <w:rPr>
                <w:rFonts w:hint="eastAsia" w:ascii="宋体" w:hAnsi="宋体" w:eastAsia="宋体" w:cs="宋体"/>
                <w:color w:val="auto"/>
                <w:kern w:val="0"/>
                <w:sz w:val="21"/>
                <w:szCs w:val="21"/>
                <w:highlight w:val="none"/>
              </w:rPr>
              <w:t>16:9；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3、色温</w:t>
            </w:r>
            <w:r>
              <w:rPr>
                <w:rFonts w:hint="eastAsia" w:ascii="宋体" w:hAnsi="宋体" w:eastAsia="宋体" w:cs="宋体"/>
                <w:color w:val="auto"/>
                <w:kern w:val="0"/>
                <w:sz w:val="21"/>
                <w:szCs w:val="21"/>
                <w:highlight w:val="none"/>
                <w:lang w:val="en-US" w:eastAsia="zh-CN"/>
              </w:rPr>
              <w:t>范围</w:t>
            </w:r>
            <w:r>
              <w:rPr>
                <w:rFonts w:hint="eastAsia" w:ascii="宋体" w:hAnsi="宋体" w:eastAsia="宋体" w:cs="宋体"/>
                <w:color w:val="auto"/>
                <w:kern w:val="0"/>
                <w:sz w:val="21"/>
                <w:szCs w:val="21"/>
                <w:highlight w:val="none"/>
              </w:rPr>
              <w:t>2000-9500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4、亮度/色度均匀性</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98%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5、刷新率：≥3840Hz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6、产品的模组与主板采用磁吸接插件连接固定，无排线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7、产品的白屏下亮度可以调节，最高可≥2000cd/㎡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8、产品的对比度：5000:1；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9、产品的功耗≤133W/㎡；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858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D3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平方</w:t>
            </w:r>
          </w:p>
        </w:tc>
      </w:tr>
      <w:tr w14:paraId="6D51909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39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F4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解码拼控一体云主机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154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1、应具有不少于1对音频输入/输出接口，2个RJ-45千兆网络接口、2个RS485、2个 RS-232, 2个USB2.0, 1个USB3.0, 2个HDMI输入接口、6个HDMI输出接口，具 有开关按键、复位键；应支持8路报警输入、8路报警输出。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2、应支持不少于2路本地高清视频输入，不少于6路视频解码输出。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3、应支持4K高分辨率输入输出。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4、应具有电源、报警、网络三种指示灯。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5、在Web浏览器下，应具有GB/T 28181、Onvif、RTP、RTSP设置选项。应支持接入第三方生产厂家的前端设备进行解码。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6、应具有H.265、H.264 (Baseline/Main/High Profile)、MPEG4、MJPEG视频解码设置选项；具有 G.711A、G.711U、AAC、ADPCM 音频解码设置选项。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7、应能设置16个解码拼控预案，并支持快速调取。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CA3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7E7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D1BC90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0F8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737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智能LED控制器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2FF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1.支持1路4K@60和1路1080P@60视频源同时采集及输出；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2.支持极限带载最宽8192，最高4320；单网口最大带载65万像素，共8个输出网口，最大带载520万像素；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3.支持8bit采集及输出显示；支持RGB888、YUV444、YUV422采集；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4.支持1路HDMI2.0、DP1.2二选一视频输入，1路HDMI1.3视频输入；1个HDMI环出接口；8个千兆以太输出网口；1个百兆以太控制网口；1个USB2.0接口；1个RS232接口；1个RS485接口；1个光探头接口；4个按键或按键灯；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5.支持多台设备同步显示；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50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D71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84A591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3A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42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智慧用电智能配电柜（10KW）</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743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安装方式：壁挂式；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手动控制：一键启停；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时控控制：10组时间段设置；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自动控制：定时启停、联动停止；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中控控制：SmartIASConfig、WEB；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温度传感器：温湿度变送器；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烟雾传感器：吸顶式烟雾报警器；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输入电压：三相380V；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额定功率：10kW；</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输出路数：3；</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防雷：40kA，TGDY55II-40；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接口：RJ45网口</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C6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A1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CB2464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2C2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37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HDMI线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B80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15米HDMI视频线。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65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96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600A50E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A2C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58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钢结构</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070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配套屏幕安装钢结构支架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BA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2F7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平方</w:t>
            </w:r>
          </w:p>
        </w:tc>
      </w:tr>
      <w:tr w14:paraId="3E5A0E9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3E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DD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屏幕包边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F9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小间距屏幕包边，彩色金属材料。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21A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48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r>
      <w:tr w14:paraId="33673A9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7F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0C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全自动光盘刻印机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3E64">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1、控触屏，可视操作界面，光盘打印刻录执行状态直观可视化操作，光盘数量实时监控，功能模块执行轻松自如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2、智能机械臂 稳定高效传输；智能机械手臂在刻录打印期间自动执行从盘仓取盘、送盘的高效传输，无需值守</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3、独立桌面型，LAN网络接口即插即用，一次性可输入空白光盘100张，2个50片光盘仓循环应用，1个15片外部输出盘仓，支持CD/DVD/BD多种规格光盘刻录与读取，集网络自动刻录、自动打印一体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4、支持批量自动刻录打印功能，也可以采取同步发布多个数据刻录打印任务，进行任务队列方式刻录打印光盘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5、可设计定制盘面的内容标题、背景图、文字、日期、二维码、自定义图片等信息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6、即刻即取，无需开启仓门，保障高效安全输出，光盘外部直接输出盘仓数量15片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7、系统自带1000M网络数据接口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8、设备面板自带门仓电子锁 ，通过触控屏一键操控门仓开关 ，安全、智能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A95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E94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BE99A1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FB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79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人脸抓拍摄像机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BAF8">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1、高清1080P音视频采集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2、90°超大广角视野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3、内置降噪麦克风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4、支持宽动态，逆光环境自动补偿光线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5、USB人脸抓拍摄像机即插即用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6、自带三角支架和折叠支架，可桌面放置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B2B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BB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494C91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93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26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彩色激光打印机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4AC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1、A4激光彩色打印机,支持打印、复印、扫描；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2、支持双面打印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3、支持国产化操作系统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DC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38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FC4264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ECC1">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928C">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1.2、视频定位</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6D47">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BA36">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36C7">
            <w:pPr>
              <w:snapToGrid w:val="0"/>
              <w:spacing w:line="240" w:lineRule="auto"/>
              <w:jc w:val="center"/>
              <w:rPr>
                <w:rFonts w:hint="eastAsia" w:ascii="宋体" w:hAnsi="宋体" w:eastAsia="宋体" w:cs="宋体"/>
                <w:color w:val="auto"/>
                <w:sz w:val="21"/>
                <w:szCs w:val="21"/>
                <w:highlight w:val="none"/>
              </w:rPr>
            </w:pPr>
          </w:p>
        </w:tc>
      </w:tr>
      <w:tr w14:paraId="56A6FD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55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3F9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无感建模设备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B99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1、1/2.7英寸CMOS传感器；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3、补光灯数及距离：14颗红外灯+4颗暖光灯；红外补光距离30米，暖光补光距离10米；支持补光变倍匹配；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4、照度：彩色</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0.002Lux（AGC ON @F1.6）、黑白</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0.001Lux（AGC ON @F1.6）；</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5、支持三码流，主码流最高分辨率5MP(2592x1944) @25fps；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6、支持智能分析：安全帽检测、奔跑、徘徊、热度图、人群聚集、人数统计（垂直、区域）、视频诊断、双绊线、停车、物品丢失、物品遗留、虚焦检测、音频异常、值岗检测；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7、支持音频1入1出，报警2入1出，1路RS485、TF卡接口（512G）、内置MIC、扬声器、硬复位；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8、最大功率：12W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DB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B0D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207EC5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3D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5FB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无感定位分析设备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321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算力服务器：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1、人脸人体抓拍机接入处理能力不低于100路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2、支持不少于1个VGA接口、4个USB接口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3、支持人体结构化数据分析和人脸识别分析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4、支持通过人脸与人员信息关联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5、支持抓拍人脸或人体并存入系统，作为身份标识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6、支持对实时视频进行人脸比对分析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7、支持对图片和录像进行人脸比对分析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8、支持对嫌疑人从入区到出区的全过程轨迹进行视频拼接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9、支持在办案区地图界面，实时显示嫌疑人、民警及其它人员位置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A4E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3BA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9185EC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EE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928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无感定位分析服务器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7D97">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1、企业级高性能平台服务器，前置硬盘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2、应具有Hygon国产处理器，不低于8核16线程处理器，主频≥2.8GHz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3、应具有不低于16GB DDR4 3200MHz内存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4、应具有openEuler 22.03操作系统（Linux嵌入式操作系统）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5、应具有不少于4个千兆以太网口（RJ45）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6、应具有不少于1个VGA视频接口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7、应具有不少于1块4T企业级硬盘作为系统盘使用（占用1个硬盘槽位）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8、应支持2.5寸或3.5寸SATA硬盘，支持热插拔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9、应具有不少于1个RS-232接口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10、应具有不少于2个PCIE 3.0插槽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11、应具有不少于2个前置USB2.0接口，标配2个后置USB3.0接口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12、应具有不少于1个内置电源，AC200V~AC240V，50Hz</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8B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B54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4D3DF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E2C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0E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无感定位分析软件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82AE">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1、实时处理人员行动轨迹和位置/进入区域时间及停留时长；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2、对危险区域/禁入区域动态监控，有人禁入，联动管理平台报警；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3、嫌疑人人员数量/信息/位置实时同步管理平台；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4、人员位置发生变化实时更新人员位置信息，数据同步传输地图服务器显示人员位置和视频；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5、汇总各区域工作人员数量，对于越权的行为进行及时告警，联动摄像头，查看人员视频信息等；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6、支持人员的基本信息和详细信息的处理和数据关联；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7、监控记录查询对进出人员的区域记录，并提供关联查询到其进入区域的登记信息功能。监控记录信息包括记录时间、监控区域、监控对象。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80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D3A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2354C4C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F65D">
            <w:pPr>
              <w:widowControl/>
              <w:snapToGrid w:val="0"/>
              <w:spacing w:line="240" w:lineRule="auto"/>
              <w:jc w:val="center"/>
              <w:textAlignment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F14C">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1.3、门禁设备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8CB3">
            <w:pPr>
              <w:snapToGrid w:val="0"/>
              <w:spacing w:line="240" w:lineRule="auto"/>
              <w:jc w:val="left"/>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F57E">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7FA5">
            <w:pPr>
              <w:snapToGrid w:val="0"/>
              <w:spacing w:line="240" w:lineRule="auto"/>
              <w:jc w:val="center"/>
              <w:rPr>
                <w:rFonts w:hint="eastAsia" w:ascii="宋体" w:hAnsi="宋体" w:eastAsia="宋体" w:cs="宋体"/>
                <w:color w:val="auto"/>
                <w:sz w:val="21"/>
                <w:szCs w:val="21"/>
                <w:highlight w:val="none"/>
              </w:rPr>
            </w:pPr>
          </w:p>
        </w:tc>
      </w:tr>
      <w:tr w14:paraId="0111F55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E9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97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4FDD">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 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2F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8D2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00572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13D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51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FC8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1、使用范围：木门、防火门、金属门、玻璃门等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2、输入电压：DC12V或DC24V±10%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3、工作电流：12V/380mA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4、安全类型：通电上锁、断电开锁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5、带锁状态信号反馈</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828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2A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6C564C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D26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75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8147">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1、用途：用于安装双门磁力锁锁体</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B74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30C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242256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078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3A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157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9A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15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21558F7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5C2B">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8F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1.4、对讲系统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9D18">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E569">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C192">
            <w:pPr>
              <w:snapToGrid w:val="0"/>
              <w:spacing w:line="240" w:lineRule="auto"/>
              <w:jc w:val="center"/>
              <w:rPr>
                <w:rFonts w:hint="eastAsia" w:ascii="宋体" w:hAnsi="宋体" w:eastAsia="宋体" w:cs="宋体"/>
                <w:color w:val="auto"/>
                <w:sz w:val="21"/>
                <w:szCs w:val="21"/>
                <w:highlight w:val="none"/>
              </w:rPr>
            </w:pPr>
          </w:p>
        </w:tc>
      </w:tr>
      <w:tr w14:paraId="4FEE131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759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36E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对讲分机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1DB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1、含内六角固定螺丝，具有防水、防潮、防粉尘、防拆、防暴力破坏等功能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2、一键呼叫：可通过软件指定呼叫键所呼叫的目标主机或软件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3、内置扬声器，可免提通话和接收广播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9A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EC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219BC2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96B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1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对讲主机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876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1、采用≥10.1寸数字真彩屏，智能全触摸式操作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2、支持与可视对讲分机、报警箱、报警柱双向对讲、监视、监听</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3、支持噪声抑制和回声消除效果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4、两种通话模式：软管话筒免提通话功能，通话手柄对讲功能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5、支持音频输入输出各1路、RJ45网口</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DDB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E9F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B95A4C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C94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AD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B88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91D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63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10D9FC8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BE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53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4A3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BEF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CA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406CA32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36BA">
            <w:pPr>
              <w:widowControl/>
              <w:snapToGrid w:val="0"/>
              <w:spacing w:line="240" w:lineRule="auto"/>
              <w:jc w:val="center"/>
              <w:textAlignment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5FC1B">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（二）入区等待、医疗室、民警临时办公室</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716FB">
            <w:pPr>
              <w:snapToGrid w:val="0"/>
              <w:spacing w:line="240" w:lineRule="auto"/>
              <w:jc w:val="left"/>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2D56">
            <w:pPr>
              <w:snapToGrid w:val="0"/>
              <w:spacing w:line="240" w:lineRule="auto"/>
              <w:jc w:val="center"/>
              <w:rPr>
                <w:rFonts w:hint="eastAsia" w:ascii="宋体" w:hAnsi="宋体" w:eastAsia="宋体" w:cs="宋体"/>
                <w:color w:val="auto"/>
                <w:sz w:val="21"/>
                <w:szCs w:val="21"/>
                <w:highlight w:val="none"/>
              </w:rPr>
            </w:pPr>
          </w:p>
        </w:tc>
      </w:tr>
      <w:tr w14:paraId="5078A17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71C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C8C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B85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BB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51F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3C1CB3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3B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8E0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515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E3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EA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414372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42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3733">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46A6">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08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26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3ECBC8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56B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38A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243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AB5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52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848C9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3D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BE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CC3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1、使用范围：木门、防火门、金属门、玻璃门等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2、输入电压：DC12V或DC24V±10%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3、工作电流：12V/380mA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4、安全类型：通电上锁、断电开锁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5、带锁状态信号反馈</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FC3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95C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EB8CBB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FC2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57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FFA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1、用途：用于安装双门磁力锁锁体</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C498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09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5862BE2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B8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B0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592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75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5C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9683CD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E1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FC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手动报警按钮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F42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1、支持报警信号传至警务值班室提示。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45C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96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48157C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76D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B6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273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59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08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5DCDE42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644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99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激光打印机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A56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1、A4激光打印机,支持打印、复印、扫描；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2、支持双面打印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3、支持国产化操作系统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D0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5E6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565319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B3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A52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713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4C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65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7961EB4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BB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70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FE1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82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52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F06F3D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E4C0">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789FA">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（三）三合一室（人身检查、物品保管、信息采集、声纹采集）</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3562">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5DA0">
            <w:pPr>
              <w:snapToGrid w:val="0"/>
              <w:spacing w:line="240" w:lineRule="auto"/>
              <w:jc w:val="center"/>
              <w:rPr>
                <w:rFonts w:hint="eastAsia" w:ascii="宋体" w:hAnsi="宋体" w:eastAsia="宋体" w:cs="宋体"/>
                <w:color w:val="auto"/>
                <w:sz w:val="21"/>
                <w:szCs w:val="21"/>
                <w:highlight w:val="none"/>
              </w:rPr>
            </w:pPr>
          </w:p>
        </w:tc>
      </w:tr>
      <w:tr w14:paraId="472785C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629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A2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719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F2C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9CA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197FF9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46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0D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18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CBD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DA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609B52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9CE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1E0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安全检查终端（伤痕抓拍相机）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ED6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1、手持设计，小巧灵活，便于伤痕抓拍，自带联网扩展座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2、整机尺寸不大于180×90×25mm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3、具有多点触控电容屏，显示屏尺寸应不小于5英寸，屏幕分辨率不低于1280x720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4、应内置不低于800万像素摄像头 ，应具有闪光灯、自动对焦功能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5、应具有64位四核CPU，主频1.3GHz，内存支持RAM（2GB）和ROM（16GB）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6、支持扩展存储容量，应能接入128GB Micro SD 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7、支持1：N人脸识别比对功能，人脸库支持存放10000张人脸照片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8、支持人脸识别快速关联人员身份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9、采用电容/电感式传感器，支持采集指纹图像，图像像素为256X360，采集指纹图片分辨率不低于500DPI，支持存储1000枚指纹信息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10、支持通过人脸识别或手动选择确定嫌疑人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11、支持录入随身物品信息，包括物品图片抓拍、登记民警、物品名称、物品数量、计量单位、是否涉案、特征描述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12、支持无财物暂存签字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13、待机时间不低于360小时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38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18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5EDF37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980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3F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手动报警按钮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6D6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1、支持报警信号传至警务值班室提示。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F6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B2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BE2F0C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D4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32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D7A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3E4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E40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2F9B880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948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52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手持金属探测器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A4E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1、探测器灵敏度主要取决于被检测物体的大小，形状和成分；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2、操作无方向性，使用简单、方便、无需调整；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3、9V电池降至7V左右，探测距离不变；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4、用电省，可连续工作40小时以上；</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5、电池用完时，有自动连续的告警声；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6、探测面积大，重量轻，适合长时间使用；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7、有高、低二种灵敏度选择；</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8、标配充电器和充电电池；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9、有声光、振动切换开关。</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B08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E85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096775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DFC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43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电子签名、指纹捺印设备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A4D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1、电子签名捺印：应具备指纹采集、电子签名等功能的智能专用设备，相关人员可通过设备获得所需的签名捺印的服务；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2、同步录音录像：应实现电子签章、电子指纹采集过程同步录影录像，实现证据链的不间断和可追溯性；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3、多应用服务：终端应内置安卓系统，提供原笔迹签名、信息交互、人像拍照、录音录像、等多种成熟应用；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4、高集成度：终端应集成了视频、音频（录/播）、笔迹书写等诸多功能模块；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数据安全：终端应内置国密芯片，对整机的用户静态数据都能进行加密处理，保障用户的静态数据安全。当终端进行数据传输时，传输数据可采用加密+签名的手段，保证数据传输过程的保密性和防篡改，保障数据传输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9E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510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59D9B2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DA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24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证据抓拍摄像机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CF8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1、球机支持不少于1对音频输入/输出接口、1个TF卡槽、1个复位按钮、内置MIC，支持3路报警输入，2路报警输出。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2、至少支持H.265、H.264（Main Profile，High Profile，Baseline Profile）、M-JPEG视频编码方式。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3、变焦不低于33倍。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4、宽动态范围不低于120dB。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5、亮度鉴别等级不小于11级。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6、球机（F=1.6）彩色模式所需最低照度不高于0.002 lx，能基本分辨被摄目标的轮廓特征；黑白模式最低照度不高于0.001 lx，能基本分辨被摄目标的轮廓特征。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7、支持水平360°旋转；垂直旋转范围可达到-30°~90°。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8、水平手控最大速度不小于300°/s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9、支持三码流同时输出，主码流最大支持不低于3072×1728@30fps。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10、可通过客户端或者IE对亮度、对比度、饱和度等进行调整。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11、支持通过连接温湿度屏、 温湿度传感器，将温湿度信息在视频上进行叠加。</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C7A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E76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B4C61B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41A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C5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24门人脸随身柜（主柜）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9CC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1、随身物品保管柜由柜体、8寸电容触摸屏、安卓主机、摄像头、读卡器、电控锁和主控电器四大部分组合而成。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板材采用优质镀锌板，厚度不小于0.8mm，冷加工成型，经酸洗磷化后静电喷塑，确保长期使用不易生锈；特殊部位设计加装加强筋保证柜体绝对牢固，箱门装配后轴与门框之间的间隙大于2mm小于2.5mm，其它三面的间大于1.5mm小于2mm，保证箱门开关灵活。</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3、门锁采用电控锁，用于控制箱门的自动打开。锁具安装在柜内，具有防盗防撬功能，经久耐用，安全可靠。同时具有机械应急开锁功能。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4、电容触摸显示屏：8寸，分辨率1280x800，亮度250cd/m²，0℃~50℃， LED背光、30000h以上工作寿命、无触控死角，支持十点触摸。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5、安卓终端配置：支持8寸触摸屏，内存≥2G，存储≥8G，CPU≥四核1.6GHz，30针行业标准双路LVDS接口，HDMI 2.0，8欧5W功放，2个外置USB，4个内置排针USB，1路OTG，4路RS232，操作系统Android 7.1.2；</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6、IC读卡器：感应距离≤5cm、工作频率13.56MHZ、读卡速率106kbit/s；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7、双目摄像头：1/2.7"CMOS Sensor，有效像素200+200万，30帧@1920*1080，6MM镜头，带镜头座，M12接口，支持人脸活体检测，USB视频输出，工作温度-30℃至70℃，支持Windows，安卓，MAC等二次开发；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8、采用主副机组合的方式，客户可随意搭配多个副机级联, 可额外扩展15个副机。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9、主柜包含24个箱门，柜子整体尺寸(mm)：W1440*D450*H1900。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10、功率：主机待机功率25W，每增加一个副机功率增加10W，开箱瞬时功率36W。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8CB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D9A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4AA3DD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F60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76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一体化采集台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926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1、控制台外部尺寸：长度≥1750mm；宽度≥1144mm；高度≥920mm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（高度为桌面高度），能够分体搬运安装，满足不同安装环境要求。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除身高足长体重设备单独摆设以外，其他设备均内置于一体化采集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工作台内；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2、台面采用木质面板和钢板结合，冷轧钢板厚≥1 mm，主体结构钢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板厚度≥1.5mm,表面防刻划、防酸、耐磨、耐用、易清洁。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3、人像采集相机杆采用铝合金材质，可通过被采集身高自动控制照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相设备升降，升降行程 500mm。可调节上、下、左、右方向；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4、液晶显示器倾斜 30 度平卧放置，即不能阻挡民警观察全场的视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线，又不能影响操作显示，同时在按指纹时看清楚屏幕；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5、键盘使用桌面下方活动托盘；采集柜桌面集成随身物品采集区域；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该区域包含刻度尺，刻度尺范围≥L300mm*W300mm,最小刻度为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6、所预留的内部位置能够安装工控机、打印机、显示器、指掌纹采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集仪、手机信息采集仪、二代证阅读器；显示器、指掌纹采集仪、</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二 代 证 阅 读 器 、 手 机 信 息 采 集 仪 采 用 嵌 入 式 安 装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7、控制台台面及柜体各处边缘全部做圆弧处理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DA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FD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9500D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87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DF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工控机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4A0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 、 机 型 ： 标 准 上 架 型 整 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 处理器：I5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 内存容量：4G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 硬盘容量：1T</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 光驱：DVD-ROM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 、 USB 数 量 ： 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D1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576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76AA21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87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6A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身份证阅读器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347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1、工作频率：13.56MH±7kHz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2、天线能量输出：天线表面电磁场强度（Hmax）≤7.5A/mrms；天</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线表面法线方向最大读卡距离处电磁场强度（Hmin）≥1.5A/mrms；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3、通讯接口：USB2.0；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4、阅读时间：&lt; 1S；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5、阅读距离：0～3cm；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6、供电方式：USB 供电；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 适 用 平 台 ： Windows XP/Windows 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222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F50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6530B3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4A8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EF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指掌纹采集系统软件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6527">
            <w:pPr>
              <w:widowControl/>
              <w:snapToGrid w:val="0"/>
              <w:spacing w:line="24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按照河南省公安厅 2016 年对新警综平台的建设要求，本软件应与省厅2016 版新警综平台对接，自动从警综获取人员基本信息，避免重复录入，再通过该软件采集人员的指纹、掌纹、人脸（三面照）、DNA、足迹、声纹、手机采集等生物信息，并实现与警综交互，具体功能要求如下：</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1、采集人脸三面照：系统按采集顺序会自动调用数码相机，实现违法人员三面照的智能采集，具体软件功能应包括：</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检测图像中是否有人脸，若有人脸，则自动定位眼睛位置，判断人脸双眼间距是否过小；</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判断人脸图像的模糊程度、曝光程度、对比度等是否符合要求；</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判断人脸图像是否存在阴阳脸、姿态是否是正面；</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判断检测到的人脸图像眼睛是否闭合，对眼睛闭合的人脸图像给出提示；</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判断检测到的人脸图像是否佩戴眼镜、眼镜是否有反光；</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根据指定的人脸标准化模板对检测到的人脸图像标准化，输出标准大小的人脸图像；</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根据人脸单项质量分值，计算出人脸综合质量评分。</w:t>
            </w:r>
            <w:r>
              <w:rPr>
                <w:rFonts w:hint="eastAsia" w:ascii="宋体" w:hAnsi="宋体" w:eastAsia="宋体" w:cs="宋体"/>
                <w:color w:val="auto"/>
                <w:sz w:val="21"/>
                <w:szCs w:val="21"/>
                <w:highlight w:val="none"/>
              </w:rPr>
              <w:br w:type="textWrapping"/>
            </w:r>
            <w:r>
              <w:rPr>
                <w:rStyle w:val="47"/>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人脸数据自动提交本地人脸库（或自动入省厅人脸大库），并自动实现与省厅人脸大库中的常驻人口、全国在逃人员、打一建一人脸库进行比对，以实现自动提示采集民警当前被采集人员的真实身份、是否属在逃人员、是否有前科等。</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2、采集指掌纹：系统自动调用指掌纹采集设备进行人员指掌纹的采集，包括平面指纹、滚动指纹、掌心掌纹、侧掌纹等的智能采集，在一定程度上自动适应各种类型的指掌纹，如干湿程序不同的人群等；采集后自动入本市指纹库，并自动提交到省库进行查重，结果会自动返回到采集端，以提示民警当前被采集人员是否有前科和打击处理轨迹。</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3、与《全国公安机关 DNA 数据库应用系统》对接：软件应依据河南省公安厅刑事科学技术研究所对全省 DNA 实验室编号规则要求自动生成全国唯一的 DNA 实验室编号，并自动从警综平台提取人员基本信息，如姓名、身份证号等，自动调用条码打印机提示民警打印出《人员 DNA 采集血卡贴纸》，上面包括姓名、身份证号、性别、DNA 实验室编号（唯一）、条码，将其贴到血卡上即可。并自动调用高拍仪实现对当前血卡的拍照，自动提交给警综平台的法治（或三联单）审核人员。最后系统自动将该人员信息写入地市的《全国公安机关 DNA 数据库应用系统》中，以解决以往在 DNA 系统中的重复录入问题。</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4、人员足迹采集：软件应会依序自动驱动足迹采集设备，并以引导采集的方式提示民警对嫌疑人的足迹进行采集，且在采集后自动将人员详细信息复用给本地市已建的足迹系统，最后会将足迹系统中生成的足迹编号传回警综。</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5、声纹采集：如同足迹采集，软件会依次自动调用声纹采集设备，提示民警对当前人员进行人员声纹的采集，并自动会将人员信息复用给声纹系统，最后会将声纹系统中生成的人员编号传回警综。</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6、手机采集：系统应会自动将人员信息传递给相应的手机采集系统，并打开手机采集界面，提示民警在该界面对嫌疑人的手机进行采集，采集的手机信息会自动保存到当地已建的手机采集平台中，采集完成后再将手机系统中的人员编号传回警综</w:t>
            </w:r>
            <w:r>
              <w:rPr>
                <w:rFonts w:hint="eastAsia" w:ascii="宋体" w:hAnsi="宋体" w:eastAsia="宋体" w:cs="宋体"/>
                <w:color w:val="auto"/>
                <w:sz w:val="21"/>
                <w:szCs w:val="21"/>
                <w:highlight w:val="none"/>
                <w:lang w:eastAsia="zh-CN"/>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454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08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17FCAFE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97C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58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指掌纹采集系统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F520">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1.平面掌纹采集窗口≥118.9 mm x 118.9 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2.指纹有效采集面积≥32.5mm×32.5 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3.面积允许误差为±0.4 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4.图像分辨率 500dpi，允许误差为±1%；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5.图像灰度级为每个像素点灰度量化为 256 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6.光学畸变≤1%；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7.活体指掌纹采集仪采集窗口不覆膜；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8.指纹采集和掌纹采集为一体化设备；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9.指掌纹采集仪支持平面指纹的四连指采集；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10.采集高清晰暗背景光学成像系统；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11.采用独立的指纹、掌纹采集仪模组；</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 采用大面阵掌纹采集技术，生成无拼接掌纹图像；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A8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D8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8F1B80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000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0A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相机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253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1、传感器类型：CMOS；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2、显示屏尺寸 3 英寸，显示屏像素 46 万像素液晶屏；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3、闪光灯类型：内置；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4、传感器尺寸 APS 画幅（22.3*14.9mm），有效像素 1800 万，最高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分辨率 5184×3456，</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5、高清摄像：全高清（1080）； 6、镜头类型：伸缩式，等效 35mm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焦距 27-83mm；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7、对焦点数：9 点（中央为对应 F5.6 的十字型自动对焦）；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8、存储卡类型 SD/SDHC/SDXC 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9、文件格式图片：JPEG，RAW，RAW+JPEG，视频：MOV；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10、HDMI 接口支持，其它接口 USB2.0；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F5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48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43E482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C7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F2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足迹采集系统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BE8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1、通过 USB 与计算机相连，自动采集嫌疑人足迹；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2、采集到的足迹图像完整、清晰、自动校正变形，自动标注比例尺，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可以打印输出 1:1 图像；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3、可以采集精细的鞋底花纹，达到足迹认定精度要求；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4、图像区域：350mm（L）*150mm（W）</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5、图像灰度：256 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6、光学畸变（F）：0.1%&lt;F&lt;1%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7、物理分辨率：≥300DPI</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8、采集速度：&lt;10 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9、接口：USB2.0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35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1D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323797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D5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E2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高拍仪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CF5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1、扫描元件：CMOS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2、像素：500 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3、最大分辨率：2592x1944dpi</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4、扫描范围：A4，A5，A6，A8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5、扫描速度≤1 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6、日扫描量：≥3000 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7、接口类型 USB2.0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8、扫描模式：彩色、灰阶、黑白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9、色彩位数输入：48 位，输出：24 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10、输出格式 PDF，BMP，JPEG，TIFF，多页 PDF</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A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EC3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49DEF2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54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CA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多功能打印一体机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3B7B">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1、分辨率：203dpi（8 点/毫米）</w:t>
            </w:r>
          </w:p>
          <w:p w14:paraId="6D74D09A">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2、打印方式：热敏或热转印</w:t>
            </w:r>
          </w:p>
          <w:p w14:paraId="034A406A">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3、打印速度：102mm/s</w:t>
            </w:r>
          </w:p>
          <w:p w14:paraId="3BBC7CB8">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4、最大打印宽度：104mm</w:t>
            </w:r>
          </w:p>
          <w:p w14:paraId="07AE1C77">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5、最大打印长度：991mm</w:t>
            </w:r>
          </w:p>
          <w:p w14:paraId="5C7171B7">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6、条形码类型一维码：Code 11，Code 39，Code 93，Code 128，UPC-A，</w:t>
            </w:r>
          </w:p>
          <w:p w14:paraId="169BA51A">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UPC-E，EAN-8 等</w:t>
            </w:r>
          </w:p>
          <w:p w14:paraId="34FBEE55">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7、二维码：Aztec，Codablock，Code 49，Data Matrix 等</w:t>
            </w:r>
          </w:p>
          <w:p w14:paraId="6C5FFED0">
            <w:pPr>
              <w:widowControl/>
              <w:snapToGrid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8、存储：8MB</w:t>
            </w:r>
          </w:p>
          <w:p w14:paraId="41E46AF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9、介质传感器：反射式、穿透式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33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5A3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81B805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C5E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42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通讯设备全数据采集仪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CFA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1.一体化设计，采用统一的工作平台。硬件将专业计算机、多功能读</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卡设备等功能集成于一体，由系统软件统一控制，只留设备接口供</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用户使用；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2.专业计算机主要配置如下：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CPU 类型：Intel(R) Celeron(R) CPU 1037U 或更高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CPU 频率：1.8GHz 或更高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内存：2G（可扩展）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硬盘：120G 固态硬盘（可扩展）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10.1 英寸高亮度触摸液晶显示器，分辩率 1024 x 720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无线鼠标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3.高集成数据线，数据线采用标准 USB 接口+多种手机接口的方式，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可扩展；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4.设备接口：布局科学合理符合采集流程，有 4 个 USB 接口，设备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有 SIM 卡、SD 卡、PSP/MS 卡、TF 卡、M2 卡等读卡器接口，一个</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电源接口、一个 VGA 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5.智能采集：该功能通过多种连接通道（数据线、蓝牙、物理读取），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可智能读取出品牌机和智能机型号、操作系统等信息，自动侦测智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能平台操作系统类别。可采集手机通讯录、通话记录、短信息、日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历、内存文件（文字、语音、视频、图片文件）、QQ 账号、QQ 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友信息及聊天记录、QQ 群信息、微信好友及微信聊天记录（文字、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语音、视频、图片文件）、已删除数据(部分手机)、飞信、米聊、陌</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陌、Skype、微博、Line 信息、易信信息、来往、Facebook 信息、Twitter</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信息、旺信信息、人人信息、YY 信息、Talkbox 信息、Voxer 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Viber 信息、WhatsApp 信息、DiDi 信息、遇见、COCO 信息、Zello</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信息、Telegram 信息、蜜语信息、Tango、ooVoo、BBM、比邻、上</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网日志、邮件、WIFI 热点记录、照片位置信息、地图位置信息、蓝</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牙信息、电子商务（淘宝、QQ 网购、京东商城、支付宝、财付通）</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信息、第三方安全软件（来电通、QQ 通讯录）信息、SIM 卡串号和</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SIM 卡识别码、手机串号、MAC 地址、本机号码等数据。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6.查询统计：该功能设计简洁的查询、统计功能，可方便的对采集的</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手机数据进行简单查询，但无法查看数据详细信息。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7.数据同步：能将设备采集的所有数据同步到后台进行统一管理应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用，同步方式包括全量、增量、特定时间段等三种方式。支持网络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同步、二维码同步、USB 连接线同步和 U 盘同步。</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D79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1D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034BFB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7E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E39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身高体重足长信息采集仪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EF7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身高体重足长信息采集仪：用于采集身高体重足长，且自动测量及</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读取数据；体重测量范围：10kg-200kg，分度 0.1kg；身高测量范围：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120cm-200cm，分度：0.5cm；足长测量范围：15cm-36cm，分度为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2.5mm；3 组 1 寸数码管分别显示：身高、体重、足长；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188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F9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3D52BE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6B1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41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声纹采集仪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936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阵列单元：4 MEMS麦克风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有效频响范围：100Hz-8KHz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输出接口：USB/模拟音频输出（AUX）</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输出声道：双声道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语音识别有限范围：5米内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灵敏度：≥60mV/Pa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本机噪声级：≤30dB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信噪比：≥60dB</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F6C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80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136123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9B1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8D4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虹膜采集仪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D8C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输入接口 USB2.0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供电方式 USB 供电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虹膜图像分辨率 640x480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眼睛的数目 双目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温度 0-50℃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湿度 20%~95%, 不结露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用眼安全 符合 IEC 62471、IEC60825-1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注册时间 ≤2s</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17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21C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F78E4E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A56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D6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激光打印机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87C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1、A4激光打印机,支持打印、复印、扫描；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2、支持双面打印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3、支持国产化操作系统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89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3E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7EB7B8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7B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393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241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4F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D3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414A871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69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43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D91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23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88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20F5F4A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014C">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8DBD2">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（四）体检室2间、血常规化验室、X光检查室、毒品检测室</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FBDC">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6DA2">
            <w:pPr>
              <w:snapToGrid w:val="0"/>
              <w:spacing w:line="240" w:lineRule="auto"/>
              <w:jc w:val="center"/>
              <w:rPr>
                <w:rFonts w:hint="eastAsia" w:ascii="宋体" w:hAnsi="宋体" w:eastAsia="宋体" w:cs="宋体"/>
                <w:color w:val="auto"/>
                <w:sz w:val="21"/>
                <w:szCs w:val="21"/>
                <w:highlight w:val="none"/>
              </w:rPr>
            </w:pPr>
          </w:p>
        </w:tc>
      </w:tr>
      <w:tr w14:paraId="4EBD90A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8B6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F3F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3B8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E3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43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E98AB4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BB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5BB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989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33A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25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10073E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29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84BB">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8C42">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A53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D6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78A8CA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985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D57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窗口对讲机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602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采用物理式按压按键，一体式高性能会议话筒；窗口机采用全铝合金外壳，内置红外感应探头。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采用专业的数字DSP处理芯片，信号稳定， 声音还原度高。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具有双向对讲、自动静音、录音输出、音量调节等功能。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供电方式：电源适配器供电。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21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C2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78B624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3E6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F7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FE5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E5E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3E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6CFEFBE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218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A6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CDC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43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B6E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22BAC89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73C2">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446A7">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（五）候问室6间、醒酒室1间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FF113">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5942">
            <w:pPr>
              <w:snapToGrid w:val="0"/>
              <w:spacing w:line="240" w:lineRule="auto"/>
              <w:jc w:val="center"/>
              <w:rPr>
                <w:rFonts w:hint="eastAsia" w:ascii="宋体" w:hAnsi="宋体" w:eastAsia="宋体" w:cs="宋体"/>
                <w:color w:val="auto"/>
                <w:sz w:val="21"/>
                <w:szCs w:val="21"/>
                <w:highlight w:val="none"/>
              </w:rPr>
            </w:pPr>
          </w:p>
        </w:tc>
      </w:tr>
      <w:tr w14:paraId="3344939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35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9C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C7E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84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53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DD6EA6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10C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F8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DD9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B4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702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2D3044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E6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636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单目全景摄像机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6A0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 图像分辨率不低于1920*1080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3、接口要求不少于：1路RJ45网络接口、1路音频输入、1路音频输出、1个RS485接口、2路报警输入、1路报警输出、1个复位、1个内置SD卡接口、1个内置扬声器、2个内置麦克风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4、支持H.265、H.264（MP/HP/BP）、M-JPEG等视频编码标准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5、彩色分辨力不低于1900TVL，分辨率不低于2592*1944</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6、亮度等级不低于11级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 支持畸变矫正和远端放大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8、水平视场角≥140°，垂直视场角≥100°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9、支持三码流输出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10、支持回声抑制、音频降噪等功能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11、支持语音对讲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12、支持强光抑制、背光补偿、数字降噪、透雾、电子防抖、场景设置、走廊模式功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13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5B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22E247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B16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594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手动报警按钮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E67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1、支持报警信号传至警务值班室提示。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86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C3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1CA12B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689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CBF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781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9D0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1D5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5049F52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3D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B5B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56CF">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 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FC8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BE9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71C365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0F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51B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CEA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5、对于无框门，需要选配支架。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E2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0D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6E9497A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88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9F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860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BE17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EF1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6BE5AB7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4E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D1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062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B8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8D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62EDFB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CF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31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全景温湿度显示屏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A88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1、温湿度屏与超广角全景摄像机一体化设计，集时间、温湿度采集显示与全景画面采集功能于一体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2、静态数字显示，适于同步录音录像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3、内置MIC和扬声器，具有不少于1个RJ45接口、1路音频输入接口、1路音频输出接口、2路报警输入接口、1路报警输出接口、1个RS485接口、1个复位按钮、1个存储卡接口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4、支持自动校准时钟，与摄像机、审讯主机时间同步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5、支持通过触摸按键设置显示屏年、月、日、时、分、秒，支持调节年月日自动联动星期显示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6、支持将实时温湿度信息叠加到视频画面上</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7、不大于2.1mm超广角定焦镜头，支持ICR双滤切换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8、摄像机分辨率不低于2592×1944</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9、支持音频异常检测报警提示，支持高音报警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10、支持音视频本地存储卡存储，录制的文件可使用通用播放软件播放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C5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8A5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34AAF2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74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C1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解码一体机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0F1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1、应具有1对音频输入/输出接口，2个RJ-45千兆网络接口、2个RS485、2个 RS-232, 2个USB2.0, 1个USB3.0, 2个HDMI输入接口、6个HDMI输出接口，具 有开关按键、复位键；应支持8路报警输入、8路报警输出。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2、应支持不少于2路本地高清视频输入，不少于6路视频解码输出。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3、应支持4K高分辨率输入输出。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4、应具有电源、报警、网络三种指示灯。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5、在Web浏览器下，应具有GB/T 28181、Onvif、RTP、RTSP设置选项。应支持接入第三方生产厂家的前端设备进行解码。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6、应具有H.265、H.264 (Baseline/Main/High Profile)、MPEG4、MJPEG视频解码设置选项；具有 G.711A、G.711U、AAC、ADPCM 音频解码设置选项。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7、应能设置16个解码拼控预案，并支持快速调取。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8、应支持分辨率4K(3840×2160)背景图显示(可通过U盘读入)，应能在系统未添加通道时显示背景图。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9、最大应支持整机96通道解码显示。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10、应支持多型号进行多台混搭级联使用；级联后最高可支持54路解码输出和拼接控制。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F55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3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F62E6E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D8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08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监控显示设备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E5F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1、尺寸：≥55寸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2、材质：塑壳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3、分辨率：≥3840×2160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4、刷新率：60Hz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5、视角：≥178°/ 178°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应</w:t>
            </w:r>
            <w:r>
              <w:rPr>
                <w:rFonts w:hint="eastAsia" w:ascii="宋体" w:hAnsi="宋体" w:eastAsia="宋体" w:cs="宋体"/>
                <w:color w:val="auto"/>
                <w:kern w:val="0"/>
                <w:sz w:val="21"/>
                <w:szCs w:val="21"/>
                <w:highlight w:val="none"/>
              </w:rPr>
              <w:t>配喇叭</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7、采用最新3D画质数字处理电路技术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8、极速响应时间，画面无拖尾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51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40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ACE0EB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8D8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17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醒酒椅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183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规格</w:t>
            </w:r>
            <w:r>
              <w:rPr>
                <w:rFonts w:hint="eastAsia" w:ascii="宋体" w:hAnsi="宋体" w:eastAsia="宋体" w:cs="宋体"/>
                <w:color w:val="auto"/>
                <w:kern w:val="0"/>
                <w:sz w:val="21"/>
                <w:szCs w:val="21"/>
                <w:highlight w:val="none"/>
                <w:lang w:val="en-US" w:eastAsia="zh-CN"/>
              </w:rPr>
              <w:t>应为：</w:t>
            </w:r>
            <w:r>
              <w:rPr>
                <w:rFonts w:hint="eastAsia" w:ascii="宋体" w:hAnsi="宋体" w:eastAsia="宋体" w:cs="宋体"/>
                <w:color w:val="auto"/>
                <w:kern w:val="0"/>
                <w:sz w:val="21"/>
                <w:szCs w:val="21"/>
                <w:highlight w:val="none"/>
              </w:rPr>
              <w:t>高115cm*宽80cm*长100cm，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材质说明：管壁厚度贴标2.5，实厚2.0  座面、靠背、扶手采用西皮软包，约束带面料为尼龙编制带，柔软性强，便于携带，使用方便，不易断裂，约束带表面平整、光滑，无划痕、尖锐菱角等缺陷。各部位连接圆滑。锁扣采用专用强磁锁扣。此款醒酒椅可调95度，110度，140度，160度，四个角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84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BC9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48BE820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5A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C6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激光打印机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5C4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1、A4激光打印机,支持打印、复印、扫描；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2、支持双面打印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3、支持国产化操作系统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CE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575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840F2D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2B1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3A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CC9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0D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40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21D7BB5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DF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CB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E3A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CA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BA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7491697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E7B6">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8D798">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（六）讯询问室13间（5间询问、2间未成年询问、4间讯问、1间特殊讯问、1间远程讯问）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521AC">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68DC">
            <w:pPr>
              <w:snapToGrid w:val="0"/>
              <w:spacing w:line="240" w:lineRule="auto"/>
              <w:jc w:val="center"/>
              <w:rPr>
                <w:rFonts w:hint="eastAsia" w:ascii="宋体" w:hAnsi="宋体" w:eastAsia="宋体" w:cs="宋体"/>
                <w:color w:val="auto"/>
                <w:sz w:val="21"/>
                <w:szCs w:val="21"/>
                <w:highlight w:val="none"/>
              </w:rPr>
            </w:pPr>
          </w:p>
        </w:tc>
      </w:tr>
      <w:tr w14:paraId="39916E2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B0A7">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F41DF">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6.1高级讯询问室（特殊讯问室）1间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A09C">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E531">
            <w:pPr>
              <w:snapToGrid w:val="0"/>
              <w:spacing w:line="240" w:lineRule="auto"/>
              <w:jc w:val="center"/>
              <w:rPr>
                <w:rFonts w:hint="eastAsia" w:ascii="宋体" w:hAnsi="宋体" w:eastAsia="宋体" w:cs="宋体"/>
                <w:color w:val="auto"/>
                <w:sz w:val="21"/>
                <w:szCs w:val="21"/>
                <w:highlight w:val="none"/>
              </w:rPr>
            </w:pPr>
          </w:p>
        </w:tc>
      </w:tr>
      <w:tr w14:paraId="0C400EC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C9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F98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A0F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15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2B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E9ABAB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662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93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D0C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C9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0F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724AA6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720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E20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室内高清全局球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9ED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1、应用于办案区内，具备防悬挂功能，不允许外接支架。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2、采用超低照度传感器，定点不小于1/2.8英寸、动点不小于1/1.8英寸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3、动点支持不低于20倍光学变倍，16倍数字变倍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4、接口要求不低于：2个RJ45千兆网络接口、1个RS485接口、1个音频输入接口、一个音频输出接口、3路报警输入接口、2路报警输出接口、1个MicroSD卡卡槽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5、支持H.265、H.264、M-JPEG等视频编码标准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6、动点水平分辨力不低于1250TVL，H.265编码、帧率25fps、码率6Mbps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7、动点旋转范围应满足：水平方向0°～180°，垂直方向0°～90°连续旋转，动点定位准确度偏差不大于0.2°；定点旋转范围应满足：水平方向-30°～30°，垂直方向30°～50°可调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8、动点最低照度不高于0.004lx（F=1.58，彩色模式），0.001lx（F=1.58，黑白模式）；定点最低照度不高于0.003lx（F=1.8，彩色模式），0.002lx（F=1.8，黑白模式）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9、支持视频码率调整，调整范围不小于32Kbps～16Mbps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10、支持强光抑制、透雾、区域曝光等功能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11、支持通过对接温湿度传感器并将温湿度信息叠加到视频画面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12、支持PAL和NTSC两种制式的切换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13、支持人员数量异常、攀高、睡岗、打架斗殴等智能检测功能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14、支持电子快门，快门速度1/1s至1/100000s可设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15、支持通过GB/T28181、Onvif等协议接入平台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16、支持DC12V和POE供电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102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13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CC2065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390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22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3E6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29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FF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DBE166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64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3B4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智能一体化讯问设备1</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584A">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智能审讯一体桌应集成审讯台、审讯终端、电动升降单元、示证单元、特写摄像机、拾音器、编码器、音箱、交换机、报警按钮、智能触摸中控系统、打印功能为一体，并预留审讯主机、示证展台和电子签名捺印设备安装位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2、审讯终端配置不低于8核处理器，8G内存，1TB机械硬盘，240GB固态硬盘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3、电动升降单元：≥21寸 ，支持HDMI接口，仰角满足0－15°可调节角度，分辨率≥1920*1080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4、示证单元：≥43寸，分辨率≥1920*1080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5、内置编码器，支持1920*1080高清HDMI输出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6、内置高保真拾音器，具备高灵敏度、全向拾音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7、审讯台桌面应采用木质材料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8、智能触摸中控系统：≥7寸，应支持电控开关、智能审讯、大屏影像、生命体征、审讯椅控制五大应用模块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9、电控开关模块，支持控制设备通断电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10、智能审讯模块，支持一键开关机、示证切换、升降单元升降、开启审讯等功能，方便民警便捷开展审讯工作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11、大屏影像模块，可以实时回显查看示证画面当前内容，便于民警核对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12、支持生命体征模块，可以实时查看嫌疑人心率、体温、血压数据，支持体征异常报警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13、审讯椅控制模块，配合智能审讯椅使用，可以控制智能审讯椅束缚装置打开</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14、包含特写相机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15、特写摄像机角度可调，上下左右可调整角度不小于7 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16、桌面提供接口不少于：音频3.5mm输入输出各一个、2个USB充电接口、5个USB接口、1个AC 220V插口、1个网口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17、桌面上支持手机无线充电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18、打印模块隐蔽式嵌套于桌面下方，支持抽拉，可方便维护，桌面预留出纸口，纸张可无障碍摊放到桌面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19、支持彩色打印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20、支持按下桌面手动报警按钮触发应急报警</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2C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7A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BB108A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E1F5">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1B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智能嫌疑人座椅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C21D">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1、全金属框架，人体接触面软包设计，座椅应为直靠椅，并配有坐垫、靠垫、扶手垫</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2、表面光滑，无尖锐棱角，安全可靠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3、具备左右手、胸部、腿部约束锁具，且锁具应无法用人力打开</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4、约束锁应能通过遥控和平台控制开锁，支持单一锁具开启和一键全开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5、在断电的情况下，门栏锁应能自动打开，左/右手锁、胸部锁应能采用机械钥匙打开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6、接口要求不少于：1个供电接口、1路RJ45网络接口和1个USB接口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7、审讯椅各部件与人体接触面及连接处不应有棱角，表面应圆滑，使用螺栓连接时连接处外表面应使用软质材料包覆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8、腕部集成体征监测传感器，支持无感体征监测，应能通过体征监测传感器采集心率、体温，并能在平台实时显示审讯椅监测的心率、体温信息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9、具备电子签名捺印设备安装位置并预留走线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10、应能在DC12V±10%的供电条件下正常工作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C2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5E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16A0E91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C1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C1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公安审讯主机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22BC">
            <w:pPr>
              <w:widowControl/>
              <w:numPr>
                <w:ilvl w:val="0"/>
                <w:numId w:val="13"/>
              </w:numPr>
              <w:snapToGrid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 xml:space="preserve">支持不拆机箱更换光驱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2、接口要求不少于：1个RJ45网络接口、4个POE网络接口、1个HDMI输入、1个VGA输入、1个VGA输出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3、支持高音质音频接入，音频编码标准应采用AAC，音频采样率8KHz/32KHz/48KHz可调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4、支持校正时钟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5、支持不少于6个前置硬盘插槽，支持热插拔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6、单张光盘刻录的音视频时长不低于4小时，且不影响刻录的音视频质量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采集讯问室实时音视频和环境信息，包括讯问民警人声、嫌疑人人声、其他环境声音、嫌疑人正面画面、室内全景画面、时间、温度、湿度等；采集的声音和图像应清晰无损坏，支持8路视频通道和3路合成通道共11路通道的同时采集录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8、支持视频自动叠加片头，叠加内容可设置案件编号、案件名称、审讯民警姓名、嫌疑人姓名等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9、支持硬盘自动存储和双光驱刻录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10、支持打点功能，在硬盘存储和光盘刻录过程中可对重点内容进行打点标记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11、支持视频、音频丢失报警功能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12、支持自动对光盘进行封盘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13、讯问结束后刻录的时间不超过5分钟。支持通过硬盘音视频数据实现光盘更换自动回补刻录。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14、支持一键直刻，光盘刻录可选择单盘直刻、双盘直刻或循环直刻，并可自定义刻录通道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15、主机应标配1块不小于4T的硬盘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47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722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DC2D0D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B85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C0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示证展台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3B7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1、高清自动对焦镜头；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2、支持脱机/联机操作；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3、支持三维翻转拍摄；</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4、底座集成按键功能；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5、支持SD卡；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6、拍摄镜头旋转角度可达到270°；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7、红外线遥控器；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8、内置专业展台软件；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9、支持鼠标操作视频(滚动变倍、漫游)；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10、可微距拍摄，可拍摄到1元人民币背面底部写的RMB RMB字样；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11、接口：USB、HDMI、VGA；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12、12V电压供电。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D1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7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F73BC1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C5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C11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电子签名、指纹捺印设备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A5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1、电子签名捺印：应具备指纹采集、电子签名等功能的智能专用设备，相关人员可通过设备获得所需的签名捺印的服务；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2、同步录音录像：应实现电子签章、电子指纹采集过程同步录影录像，实现证据链的不间断和可追溯性；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3、多应用服务：终端应内置安卓系统，提供原笔迹签名、信息交互、人像拍照、录音录像、等多种成熟应用；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4、高集成度：终端应集成了视频、音频（录/播）、笔迹书写等诸多功能模块；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数据安全：终端应内置国密芯片，对整机的用户静态数据都能进行加密处理，保障用户的静态数据安全。当终端进行数据传输时，传输数据可采用加密+签名的手段，保证数据传输过程的保密性和防篡改，保障数据传输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09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AA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274021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60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6C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全景温湿度显示屏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1FB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1、温湿度屏与超广角全景摄像机一体化设计，集时间、温湿度采集显示与全景画面采集功能于一体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2、静态数字显示，适于同步录音录像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3、内置MIC和扬声器，具有不少于1个RJ45接口、1路音频输入接口、1路音频输出接口、2路报警输入接口、1路报警输出接口、1个RS485接口、1个复位按钮、1个存储卡接口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4、支持自动校准时钟，与摄像机、审讯主机时间同步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5、支持通过触摸按键设置显示屏年、月、日、时、分、秒，支持调节年月日自动联动星期显示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6、支持将实时温湿度信息叠加到视频画面上</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7、不大于2.1mm超广角定焦镜头，支持ICR双滤切换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8、摄像机分辨率不低于2592×1944</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9、支持音频异常检测报警提示，支持高音报警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10、支持音视频本地存储卡存储，录制的文件可使用通用播放软件播放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41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B18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620D86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DE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C2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智能交互终端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D03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1、支持10点触控电容触摸屏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2、支持RJ45接口，内置Mic，内置扬声器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3、内置补光灯，并可自动开关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4、支持人员检测功能，通过红外感应有无人员自动控制屏幕点亮和熄灭</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5、支持人脸比对功能，比对结果反馈显示时间不超过3秒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6、支持活体检测以防电子照片验证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7、性能容量不低于：用户数10000人，面部容量10000张，记录容量10万条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8、人脸识别准确率不低于99%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9、支持门禁控制功能，可通过人脸识别、刷卡和密码开门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DC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DE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044A1D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F5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2E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F57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5、对于无框门，需要选配支架。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18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24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500B1B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64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EE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CC3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BC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C4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25DCE21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349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A3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8F0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A5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56B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E5D04D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22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00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F49D">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C5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94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29DF681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A8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08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窗口对讲机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7D8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采用物理式按压按键，一体式高性能会议话筒；窗口机采用全铝合金外壳，内置红外感应探头。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采用专业的数字DSP处理芯片，信号稳定， 声音还原度高。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具有双向对讲、自动静音、录音输出、音量调节等功能。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供电方式：电源适配器供电。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F1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5F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E0FD66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2D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AE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紫外线消毒灯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C95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 220V；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2、适用面积 20-50㎡；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3、功率 20-40W；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2C8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A5E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B5FA8F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87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10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审讯耳麦</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B25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1、远程讯问指挥专用通话耳机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2、降噪麦克风，降噪比例高达75%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3、音频性能：≥6800HZ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4、配套方式：耳挂式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1A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0D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部</w:t>
            </w:r>
          </w:p>
        </w:tc>
      </w:tr>
      <w:tr w14:paraId="053F38A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C7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2B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LED门牌设备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850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1、支持双行双色显示，第一行显示房间号，第二行显示房间状态；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2、第二行可以通过平台联动显示办案中、空闲中、预约中等；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3、每行最多可同时显示5个汉字，超过5字支持滚动显示；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4、采用网络控制协议，RJ45接口。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5、功率：20~30W；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8B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D6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230BD73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DF1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3E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民警座椅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D57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1.基材：采用实木橡木材质，甲醛释放量符合E1级环保标准，经防潮、防虫、防腐处理，抗弯力强，不易变型，各种物理、化学性能指标均达到国标相关标准。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是新一代环保的木器漆，低VOC，无毒无味无腐蚀，随刷随住，本品净味，丰满，手感爽滑，坚硬、抗划伤、耐烫抗回粘、耐水、耐酸碱、耐溶剂、耐污渍、耐候持久，不黄变。】，采用自动喷涂线密闭油饰，五底三面、透明度高、附着力强、色泽美观、不变色，漆膜硬度2H</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F7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E2C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77A2D16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854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C1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F25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AA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A3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31D02EF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62C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2A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421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36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8E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2FD6BDD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2E45">
            <w:pPr>
              <w:snapToGrid w:val="0"/>
              <w:spacing w:line="240" w:lineRule="auto"/>
              <w:jc w:val="center"/>
              <w:rPr>
                <w:rFonts w:hint="eastAsia" w:ascii="宋体" w:hAnsi="宋体" w:eastAsia="宋体" w:cs="宋体"/>
                <w:color w:val="auto"/>
                <w:sz w:val="21"/>
                <w:szCs w:val="21"/>
                <w:highlight w:val="none"/>
              </w:rPr>
            </w:pPr>
          </w:p>
        </w:tc>
        <w:tc>
          <w:tcPr>
            <w:tcW w:w="76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B92E3">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6.2、普通讯询问室10间，包含未成年询问室2间、远程讯问室1间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F431">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B5E9">
            <w:pPr>
              <w:snapToGrid w:val="0"/>
              <w:spacing w:line="240" w:lineRule="auto"/>
              <w:jc w:val="center"/>
              <w:rPr>
                <w:rFonts w:hint="eastAsia" w:ascii="宋体" w:hAnsi="宋体" w:eastAsia="宋体" w:cs="宋体"/>
                <w:color w:val="auto"/>
                <w:sz w:val="21"/>
                <w:szCs w:val="21"/>
                <w:highlight w:val="none"/>
              </w:rPr>
            </w:pPr>
          </w:p>
        </w:tc>
      </w:tr>
      <w:tr w14:paraId="22C7C93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E77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1F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A60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0A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31F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E06EED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7E8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1C0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回声抑制拾音器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910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1、具有回声抑制功能，可消除对讲中产生的回声和啸叫声；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2、自动噪声电平控制功能，有效抑制房间环境噪声，提高整体音频信号清晰度；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3、远距离音频采集；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4、支持桌面放置或者壁挂；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5、最大功率3W。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37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40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08C94B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230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0A2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0D3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830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B6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AF5358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D8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7BC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室内高清全局球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9EB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1、应用于办案区内，具备防悬挂功能，不允许外接支架。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2、采用超低照度传感器，定点不小于1/2.8英寸、动点不小于1/1.8英寸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3、动点支持不低于20倍光学变倍，16倍数字变倍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4、接口要求不低于：2个RJ45千兆网络接口、1个RS485接口、1个音频输入接口、一个音频输出接口、3路报警输入接口、2路报警输出接口、1个MicroSD卡卡槽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5、支持H.265、H.264、M-JPEG等视频编码标准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6、动点水平分辨力不低于1250TVL，H.265编码、帧率25fps、码率6Mbps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7、动点旋转范围应满足：水平方向0°～180°，垂直方向0°～90°连续旋转，动点定位准确度偏差不大于0.2°；定点旋转范围应满足：水平方向-30°～30°，垂直方向30°～50°可调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8、动点最低照度不高于0.004lx（F=1.58，彩色模式），0.001lx（F=1.58，黑白模式）；定点最低照度不高于0.003lx（F=1.8，彩色模式），0.002lx（F=1.8，黑白模式）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9、支持视频码率调整，调整范围不小于32Kbps～16Mbps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10、支持强光抑制、透雾、区域曝光等功能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11、支持通过对接温湿度传感器并将温湿度信息叠加到视频画面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12、支持PAL和NTSC两种制式的切换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13、支持人员数量异常、攀高、睡岗、打架斗殴等智能检测功能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14、支持电子快门，快门速度1/1s至1/100000s可设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15、支持通过GB/T28181、Onvif等协议接入平台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16、支持DC12V和POE供电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98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94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2D67A2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7E75">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3B3A">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79B8">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173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67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137B04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69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9D8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2B0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0B8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710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66924B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DFF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B1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智能一体化讯问设备2</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7D4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1、智能审讯一体桌应集成审讯台、审讯终端、显示单元、示证单元、特写摄像机、拾音器、扬声器、交换机、报警按钮、中控面板为一体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2、审讯终端配置不低于4核处理器，8G内存，1TB机械硬盘，128GB固态硬盘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3、显示单元：≥21英寸，支持HDMI接口，分辨率≥1920*1080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4、示证单元：≥32英寸，分辨率≥1920*1080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5、预留公安审讯主机位置，实现同步录音录像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6、按键式中控面板支持一键开关机，示证展台、视频、笔录、外接示证一键切换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7、审讯台桌面应采用木质材料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8、特写摄像机：≥200万像素，2.8～12mm电动变焦，支持变倍聚焦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9、特写摄像机角度可调，上下左右可调整角度不小于7度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10、桌面提供接口不少于：音频3.5mm输入输出各一个、2个USB充电接口、2个USB接口、2个AC 220V插口、1个网口、1个HDMI接口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11、支持按下桌面手动报警按钮触发应急报警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12、支持切换四种示证方式：示证展台示证、审讯终端示证、笔记本等外设示证、同步录音录像主机远程示证），并同步在示证屏上切换显示（配合外接示证展台、笔记本、同步录音录像主机使用。）；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13、支持配合平台软件，具有朗读权利义务告知书，笔录录入、笔录校对、笔录打印、协同办案、语音交流、文字交互等功能；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49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B9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FE88AE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58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ED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公安审讯主机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C87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1、支持不拆机箱更换光驱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2、接口要求不少于：1个RJ45网络接口、4个POE网络接口、1个HDMI输入、1个VGA输入、1个VGA输出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3、支持高音质音频接入，音频编码标准应采用AAC，音频采样率8KHz/32KHz/48KHz可调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4、支持校正时钟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5、支持不少于6个前置硬盘插槽，支持热插拔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6、单张光盘刻录的音视频时长不低于4小时，且不影响刻录的音视频质量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采集讯问室实时音视频和环境信息，包括讯问民警人声、嫌疑人人声、其他环境声音、嫌疑人正面画面、室内全景画面、时间、温度、湿度等；采集的声音和图像应清晰无损坏，支持8路视频通道和3路合成通道共11路通道的同时采集录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8、支持视频自动叠加片头，叠加内容可设置案件编号、案件名称、审讯民警姓名、嫌疑人姓名等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9、支持硬盘自动存储和双光驱刻录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10、支持打点功能，在硬盘存储和光盘刻录过程中可对重点内容进行打点标记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11、支持视频、音频丢失报警功能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12、支持自动对光盘进行封盘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13、讯问结束后刻录的时间不超过5分钟。支持通过硬盘音视频数据实现光盘更换自动回补刻录。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14、支持一键直刻，光盘刻录可选择单盘直刻、双盘直刻或循环直刻，并可自定义刻录通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15、主机应标配1块不小于4T的硬盘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59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76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5E774C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88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39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远程提讯液晶显示设备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95B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1、尺寸：≥55寸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2、材质：塑壳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3、分辨率：≥3840×2160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4、刷新率：60Hz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5、视角：≥178°/ 178°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6、应配喇叭</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7、采用最新3D画质数字处理电路技术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8、极速响应时间，画面无拖尾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9、HDMI+DP双接口，丰富连接性和兼容性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10、自动唤醒功能，接入信号屏幕自动点亮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11、高亮LED背光显示设计，宽视角显示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12、三边超窄边框设计，纤薄机身</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13、应配壁挂支架，兼容底座安装，满足不同场景使用需求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5B2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E7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60FBB5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09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C7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示证展台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F3B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1、高清自动对焦镜头；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2、支持脱机/联机操作；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3、支持三维翻转拍摄；</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4、底座集成按键功能；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5、支持SD卡；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6、拍摄镜头旋转角度可达到270°；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7、红外线遥控器；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8、内置专业展台软件；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9、支持鼠标操作视频(滚动变倍、漫游)；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10、可微距拍摄，可拍摄到1元人民币背面底部写的RMB字样；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11、接口：USB、HDMI、VGA；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12、12V电压供电。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3E8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CF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629CDB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FB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47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电子签名、指纹捺印设备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B79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1、电子签名捺印：应具备指纹采集、电子签名等功能的智能专用设备，相关人员可通过设备获得所需的签名捺印的服务；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2、同步录音录像：应实现电子签章、电子指纹采集过程同步录影录像，实现证据链的不间断和可追溯性；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3、多应用服务：终端应内置安卓系统，提供原笔迹签名、信息交互、人像拍照、录音录像、等多种成熟应用；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4、高集成度：终端应集成了视频、音频（录/播）、笔迹书写等诸多功能模块；</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数据安全：终端应内置国密芯片，对整机的用户静态数据都能进行加密处理，保障用户的静态数据安全。当终端进行数据传输时，传输数据可采用加密+签名的手段，保证数据传输过程的保密性和防篡改，保障数据传输安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7A0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A7A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D6F96D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639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F2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温湿度显示屏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B01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1、支持年月日、时间、星期、温度、湿度显示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2、具有RS485接口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3、静态数字显示，适于同步录音录像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4、采用超高精度时钟，精度可达2PPM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5、支持自动校准时钟，与摄像机、审讯主机时间同步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6、支持温湿度和紧急情况报警设定及处理功能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7、应采用低压供电，电源适配器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35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E9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2E0E87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E6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E41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DABF">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 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0A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7A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3200FF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F96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F5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LED门牌设备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E01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1、支持双行双色显示，第一行显示房间号，第二行显示房间状态；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2、第二行可以通过平台联动显示办案中、空闲中、预约中等；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3、每行最多可同时显示5个汉字，超过5字支持滚动显示；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4、采用网络控制协议，RJ45接口。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5、功率：20~30W；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21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A9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0BD0F7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2FE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F3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9E1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25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5D4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563328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CB0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1C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E1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7D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10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35D3CC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21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48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78A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943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87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ED5885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14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1D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31D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FF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0B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66F13B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6BE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66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审讯耳麦</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9B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1、远程讯问指挥专用通话耳机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2、降噪麦克风，降噪比例高达75%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3、音频性能：≥6800HZ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4、配套方式：耳挂式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DED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D4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部</w:t>
            </w:r>
          </w:p>
        </w:tc>
      </w:tr>
      <w:tr w14:paraId="308E39D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913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F6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音箱</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781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高保真音箱</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BD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FC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对</w:t>
            </w:r>
          </w:p>
        </w:tc>
      </w:tr>
      <w:tr w14:paraId="3051CFB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21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EB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讯问椅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68A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材质：产品选用国标工业级优质冷轧钢材质，管壁厚度为贴标2.0MM，座面冷轧钢板厚为贴标1.5MM制成，桌面优质冷轧钢板厚为1.5MM制成，扶手管厚度为贴标2.0MM。规格：产品靠背高度为950MM，宽度为620MM，椅腿长为850MM，扶手高度为750MM，弧形桌面长600MM，宽为300MM，座面宽度为550MM，长600MM。软包部分：采用高密度定型海绵回弹PU定型泡棉，密度&gt;45KG，回弹力：47%，拉伸强度不小于85KPA，具有透气性好，软硬适中，长久使用不变形，不塌陷，不老化及对人体无害等优势，面料采用优质西皮，具有皮质细腻，光泽度好，透气性强，柔软而富于韧性等特点。操作：轻踩左下方的小踏板，桌框门自动弹开将被询问人关至本器械，关上弧形桌框门即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其它：全体框架采用大型数控弯管设备制作，一次成型，焊接面达到80%精密抛磨，无棱角、无毛刺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65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E06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5D96F0E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08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076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询问椅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CD7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1.基材：采用实木橡木材质，甲醛释放量符合E1级环保标准，经防潮、防虫、防腐处理，抗弯力强，不易变型，各种物理、化学性能指标均达到国标相关标准。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低VOC，无毒无味无腐蚀，随刷随住，本品净味，丰满，手感爽滑，坚硬、抗划伤、耐烫抗回粘、耐水、耐酸碱、耐溶剂、耐污渍、耐候持久，不黄变。】，采用自动喷涂线密闭油饰，五底三面、透明度高、附着力强、色泽美观、不变色，漆膜硬度2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软包部分：采用高密度定型海绵回弹PU定型泡棉，密度&gt;45KG，回弹力：47%，拉伸强度不小于85KPA，具有透气性好，软硬适中，长久使用不变形，不塌陷，不老化及对人体无害等优势，面料采用优质西皮，具有皮质细腻，光泽度好，透气性强，柔软而富于韧性等特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9C6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F78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0D4C83D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E0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83D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民警座椅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17F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1.基材：采用实木橡木材质，甲醛释放量符合E1级环保标准，经防潮、防虫、防腐处理，抗弯力强，不易变型，各种物理、化学性能指标均达到国标相关标准。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低VOC，无毒无味无腐蚀，随刷随住，本品净味，丰满，手感爽滑，坚硬、抗划伤、耐烫抗回粘、耐水、耐酸碱、耐溶剂、耐污渍、耐候持久，不黄变。】，采用自动喷涂线密闭油饰，五底三面、透明度高、附着力强、色泽美观、不变色，漆膜硬度2H</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DE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029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3D94BAD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B31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480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激光打印机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1A4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1、A4激光打印机,支持打印、复印、扫描；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2、支持双面打印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3、支持国产化操作系统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AD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49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811F91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98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13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小型打印机桌子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76C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1.应采用国标MFC材质，符合行业”E0“环保标准，穿孔萃取甲醛释放量≤5mg/100g；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2.顶、层、底为25mmMFC，余为16mmMFC；</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97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79C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491CB1E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210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B74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80D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74F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E12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42350CC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E1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AA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AD2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66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0F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E94D85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0237">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338A">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（七）审讯教学室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A966">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0BB5">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DE4A">
            <w:pPr>
              <w:snapToGrid w:val="0"/>
              <w:spacing w:line="240" w:lineRule="auto"/>
              <w:jc w:val="center"/>
              <w:rPr>
                <w:rFonts w:hint="eastAsia" w:ascii="宋体" w:hAnsi="宋体" w:eastAsia="宋体" w:cs="宋体"/>
                <w:color w:val="auto"/>
                <w:sz w:val="21"/>
                <w:szCs w:val="21"/>
                <w:highlight w:val="none"/>
              </w:rPr>
            </w:pPr>
          </w:p>
        </w:tc>
      </w:tr>
      <w:tr w14:paraId="5FD9ECB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F9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32C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B83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29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0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6EDBEE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80A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AD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608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18C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89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8AA189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BBE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9FC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529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06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B5B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021AC7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BF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72E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F73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5、对于无框门，需要选配支架。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44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F94E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DE35A4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A61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4E9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A0A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E59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85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D02D72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5F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D1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1BA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46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6A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57F8290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27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D6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906A">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E41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FA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A4CCD2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5F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B9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会议平板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C34F">
            <w:pPr>
              <w:widowControl/>
              <w:snapToGrid w:val="0"/>
              <w:spacing w:line="240" w:lineRule="auto"/>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一、屏体及触控技术要求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1.智能交互平板显示尺寸≥86英寸，分辨率：≥3840*2160，采用直下式背光D-LED，在双系统下均支持至少50点触控。</w:t>
            </w:r>
          </w:p>
          <w:p w14:paraId="116E95A2">
            <w:pPr>
              <w:widowControl/>
              <w:snapToGrid w:val="0"/>
              <w:spacing w:line="240" w:lineRule="auto"/>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2.智能交互平板表面玻璃采用高强度钢化玻璃，AG防眩光，厚度≤3.2mm，石墨硬度≥9H。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二、安全及能效要求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1.智能交互平板背光系统支持DC调光方式，多级亮度调节，拍摄时画面无条纹闪烁。光源稳定无频闪，防止眼睛疲劳。</w:t>
            </w:r>
          </w:p>
          <w:p w14:paraId="09E57F52">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2.智能交互平板可进行硬件自检，包括对系统内存、存储、触控系统、光感系统、内置电脑、屏体信息、主板型号、CPU使用率、设备名称等进行状态提示及故障提示。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5D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4BD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67159A7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DD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18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麦克风</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592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1.麦克风自带扬声器。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2.USB接口与电脑相连，免安装驱动程序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3.可用做视频会议电话机、网络会议电话机、skype会议电话机、QQ、MSN等。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4.全面支持Microsoft WinowsXP、windows7、Windows8、Windows 10、苹果MAC系统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F9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40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7806BC6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64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87B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会议桌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501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面板：采用国标E0级净味环保板，配套2厘PUR封边，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五金脚：40*20口型1.5精钢横梁，1.2MM钢架脚，</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带电源插座/USB线盒盖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板件四周封边（防尘、环保、美观）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45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7A6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627501D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10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5B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椅子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04A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1、高强度塑料材质；柔韧度高，受撞击能力强度强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2、螺丝：经过冷热加硬、电脑烤漆处理。螺齿喷防退漆，长久使用螺丝不会松退，不会发出响声。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3、背框为高强度塑料材质；柔韧度高，受撞击能力强度强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FA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8C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4B1B23C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20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15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420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AB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EE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60C64E8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2E7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3D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80D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FF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35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20B3D3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3DA7">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6582">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（八）卫生间</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60AD">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4623">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8478">
            <w:pPr>
              <w:snapToGrid w:val="0"/>
              <w:spacing w:line="240" w:lineRule="auto"/>
              <w:jc w:val="center"/>
              <w:rPr>
                <w:rFonts w:hint="eastAsia" w:ascii="宋体" w:hAnsi="宋体" w:eastAsia="宋体" w:cs="宋体"/>
                <w:color w:val="auto"/>
                <w:sz w:val="21"/>
                <w:szCs w:val="21"/>
                <w:highlight w:val="none"/>
              </w:rPr>
            </w:pPr>
          </w:p>
        </w:tc>
      </w:tr>
      <w:tr w14:paraId="0CA4C6A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89A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2B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14C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CA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55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836F83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C3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38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68D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653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7A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7AB674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BB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03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手动报警按钮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770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支持报警信号传至警务值班室提示。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60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7D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775E67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B4E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99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D88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24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23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C591D2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444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E26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02D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8A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FE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6CE997C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0E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DE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2CE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43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734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603ACBD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A91F">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FF7C">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（九）辨认室、律师会见室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4080">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72BB">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C2DBD">
            <w:pPr>
              <w:snapToGrid w:val="0"/>
              <w:spacing w:line="240" w:lineRule="auto"/>
              <w:jc w:val="center"/>
              <w:rPr>
                <w:rFonts w:hint="eastAsia" w:ascii="宋体" w:hAnsi="宋体" w:eastAsia="宋体" w:cs="宋体"/>
                <w:color w:val="auto"/>
                <w:sz w:val="21"/>
                <w:szCs w:val="21"/>
                <w:highlight w:val="none"/>
              </w:rPr>
            </w:pPr>
          </w:p>
        </w:tc>
      </w:tr>
      <w:tr w14:paraId="03C706C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B8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DED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C61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92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E42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D7B979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D6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801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5AC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89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A1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03EB04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F0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4EAF">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6C7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19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44B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D05762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38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77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特写摄像机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B5A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1、不低于500万像素CMOS传感器，变焦范围4.3-142mm。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2、球机支持不少于1对音频输入/输出接口、1个TF卡槽、1个复位按钮、内置MIC，支持3路报警输入，2路报警输出。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3、至少支持H.265、H.264（Main Profile，High Profile，Baseline Profile）、M-JPEG视频编码方式。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4、变焦不低于33倍。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5、宽动态范围不低于120dB。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6、亮度鉴别等级不小于11级。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7、球机（F=1.6）彩色模式所需最低照度不高于0.002 lx，能基本分辨被摄目标的轮廓特征；黑白模式最低照度不高于0.001 lx，能基本分辨被摄目标的轮廓特征。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8、支持水平360°旋转；垂直旋转范围可达到-30°~90°。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9、水平手控最大速度不小于300°/s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10、支持三码流同时输出，主码流最大支持不低于3072×1728@30fps。</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5F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AD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CCD22B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6C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64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FFE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65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56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BEE974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6F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FB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1FA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38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5B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0209B4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77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9D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B0B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3C3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46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C9E150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087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A5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2F1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68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46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64C9E4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2D1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661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6B21">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7D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ED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695AAEA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28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92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窗口对讲机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3D3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采用物理式按压按键，一体式高性能会议话筒；窗口机采用全铝合金外壳，内置红外感应探头。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采用专业的数字DSP处理芯片，信号稳定， 声音还原度高。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具有双向对讲、自动静音、录音输出、音量调节等功能。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供电方式：电源适配器供电。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2C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8CD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3A8A1B9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7A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00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3A0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138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46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392C649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42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D7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5F6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50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DF4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0C3827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57099">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848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（十）速裁法庭</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E175">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0B8C">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51A2">
            <w:pPr>
              <w:snapToGrid w:val="0"/>
              <w:spacing w:line="240" w:lineRule="auto"/>
              <w:jc w:val="center"/>
              <w:rPr>
                <w:rFonts w:hint="eastAsia" w:ascii="宋体" w:hAnsi="宋体" w:eastAsia="宋体" w:cs="宋体"/>
                <w:color w:val="auto"/>
                <w:sz w:val="21"/>
                <w:szCs w:val="21"/>
                <w:highlight w:val="none"/>
              </w:rPr>
            </w:pPr>
          </w:p>
        </w:tc>
      </w:tr>
      <w:tr w14:paraId="685649A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98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AB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回声抑制拾音器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174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1、具有回声抑制功能，可消除对讲中产生的回声和啸叫声；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2、自动噪声电平控制功能，有效抑制房间环境噪声，提高整体音频信号清晰度；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3、远距离音频采集；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4、支持桌面放置或者壁挂；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5、最大功率3W。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B6A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F4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326414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7B6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A8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B9C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D3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271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96ACE1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EA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33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E206">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r>
              <w:rPr>
                <w:rFonts w:hint="eastAsia" w:ascii="宋体" w:hAnsi="宋体" w:eastAsia="宋体" w:cs="宋体"/>
                <w:color w:val="auto"/>
                <w:sz w:val="21"/>
                <w:szCs w:val="21"/>
                <w:highlight w:val="none"/>
              </w:rPr>
              <w:t xml:space="preserve">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3A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B0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F19FEB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F32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4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1582">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87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5D1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1644DD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54A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AC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1B8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283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7B6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D01389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63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9E3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9E1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26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F6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81DEFD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1C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9A4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1BB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D50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64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07AAEF0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13C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0C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审判桌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FBA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常规木质，尺寸3500*900*900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843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26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06E97FA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36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99C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审判椅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99F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F1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59B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74AF0C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4AA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084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书记员桌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A09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常规木质，尺寸2400*800*760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132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1B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69424FA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7C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C27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书记员椅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E3E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52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1A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1972119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C7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586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诉讼桌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C8C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常规木质，尺寸2000*800*760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98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AF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3BE77AD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F0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26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诉讼椅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285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A89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C8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0C6076A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157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C34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辩护人桌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F86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常规木质，尺寸2000*800*760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E3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602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5EBC2F4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B4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303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辩护人椅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ADB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E2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1C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3301DFA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03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71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证人桌椅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B99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常规木质，尺寸2000*800*760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58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A3D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38EFABC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AF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56A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证人椅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D85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D8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AB9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65CDD9D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8F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4FE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被告人桌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E84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常规木质，尺寸2000*800*760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11F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AD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0591BB3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30F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A2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被告人椅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AF6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常规木质牛皮审判椅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074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82D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6DFE1CB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98F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C35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旁听椅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A21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常规 木质旁听椅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82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E0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621516B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E71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0F0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840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31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0FC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5B0ACF6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25B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D9F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41C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5D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1B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10DFC42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2636">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BB7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（十一）被害人证人询问室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4FAE">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1DC5">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3930">
            <w:pPr>
              <w:snapToGrid w:val="0"/>
              <w:spacing w:line="240" w:lineRule="auto"/>
              <w:jc w:val="center"/>
              <w:rPr>
                <w:rFonts w:hint="eastAsia" w:ascii="宋体" w:hAnsi="宋体" w:eastAsia="宋体" w:cs="宋体"/>
                <w:color w:val="auto"/>
                <w:sz w:val="21"/>
                <w:szCs w:val="21"/>
                <w:highlight w:val="none"/>
              </w:rPr>
            </w:pPr>
          </w:p>
        </w:tc>
      </w:tr>
      <w:tr w14:paraId="65DDA5E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B1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87B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369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A0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2A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B13F33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23B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4D94">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327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CDB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9D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83CBCF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D4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74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C7A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686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691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0E3211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00D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B0C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42A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5、对于无框门，需要选配支架。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11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B7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2D9AB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D64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AD8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3CF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2A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FB0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5DDD0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23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9A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6B6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03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96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C35D95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DC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5D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EE1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A0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C13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314A328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7A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493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审讯桌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3E5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1基材：采用高密度纤维板，搭配警蓝色装饰，甲醛释放量符合E1级环保标准，经防潮、防虫、防腐处理，抗弯力强，不易变型，各种物理、化学性能指标均达到国标相关标准。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是新一代环保的木器漆，低VOC，无毒无味无腐蚀，随刷随住，本品净味，丰满，手感爽滑，坚硬、抗划伤、耐烫抗回粘、耐水、耐酸碱、耐溶剂、耐污渍、耐候持久，不黄变。】，采用自动喷涂线密闭油饰，五底三面、透明度高、附着力强、色泽美观、不变色，漆膜硬度≧2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软包部分：采用高密度定型海绵回弹PU定型泡棉，密度&gt;45KG，回弹力：47%，拉伸强度不小于85KPA，具有透气性好，软硬适中，长久使用不变形，不塌陷，不老化及对人体无害等优势，面料采用优质西皮，具有皮质细腻，光泽度好，透气性强，柔软而富于韧性等特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354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EE3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张</w:t>
            </w:r>
          </w:p>
        </w:tc>
      </w:tr>
      <w:tr w14:paraId="5DAF4B8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425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EB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询问椅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5C9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1.基材：采用实木橡木材质，甲醛释放量符合E1级环保标准，经防潮、防虫、防腐处理，抗弯力强，不易变型，各种物理、化学性能指标均达到国标相关标准。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低VOC，无毒无味无腐蚀，随刷随住，本品净味，丰满，手感爽滑，坚硬、抗划伤、耐烫抗回粘、耐水、耐酸碱、耐溶剂、耐污渍、耐候持久，不黄变。】，采用自动喷涂线密闭油饰，五底三面、透明度高、附着力强、色泽美观、不变色，漆膜硬度2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软包部分：采用高密度定型海绵回弹PU定型泡棉，密度&gt;45KG，回弹力：47%，拉伸强度不小于85KPA，具有透气性好，软硬适中，长久使用不变形，不塌陷，不老化及对人体无害等优势，面料采用优质西皮，具有皮质细腻，光泽度好，透气性强，柔软而富于韧性等特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B8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1BE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7C22B9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39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E3A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民警座椅</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831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1.基材：采用实木橡木材质，甲醛释放量符合E1级环保标准，经防潮、防虫、防腐处理，抗弯力强，不易变型，各种物理、化学性能指标均达到国标相关标准。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2.油漆：采用优质木器专用环保漆水清漆【GB 24410—2009，低VOC，无毒无味无腐蚀，随刷随住，本品净味，丰满，手感爽滑，坚硬、抗划伤、耐烫抗回粘、耐水、耐酸碱、耐溶剂、耐污渍、耐候持久，不黄变。】，采用自动喷涂线密闭油饰，五底三面、透明度高、附着力强、色泽美观、不变色，漆膜硬度2H</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C0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232D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4B57B82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9F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60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809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0F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C20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06B8232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C2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49E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184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380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767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1750937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1514">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0E7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（十二）办案区走廊</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B145">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A1F8">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2F115">
            <w:pPr>
              <w:snapToGrid w:val="0"/>
              <w:spacing w:line="240" w:lineRule="auto"/>
              <w:jc w:val="center"/>
              <w:rPr>
                <w:rFonts w:hint="eastAsia" w:ascii="宋体" w:hAnsi="宋体" w:eastAsia="宋体" w:cs="宋体"/>
                <w:color w:val="auto"/>
                <w:sz w:val="21"/>
                <w:szCs w:val="21"/>
                <w:highlight w:val="none"/>
              </w:rPr>
            </w:pPr>
          </w:p>
        </w:tc>
      </w:tr>
      <w:tr w14:paraId="4D27148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65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53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AA5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B3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A06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8C5728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EE9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2D2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全景人体结构化摄像机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C4C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1、不低于800万像素CMOS传感器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2、支持一键聚焦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3、支持三码流同时输出，主码流最高分辨率可达8MP@20fps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4、支持人脸抓拍，单画面同时检测人脸数不低于32张，单画面同时抓拍人脸数不低于16张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5、人脸识别距离不少于10米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6、支持通过IE浏览器显示人员年龄、性别、民族、表情、戴眼镜、带口罩、是否有胡子、衣服颜色、上衣类型、是否背包、戴帽子等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7、人脸抓拍率不低于97%</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8、红外补光距离不低于50米，支持补光变倍匹配功能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9、支持以某一物理位置为坐标原点，分别标定镜头的离地高度、俯仰角、倾斜角、实际坐标等信息并建立坐标系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10、支持同时检测不低于20个行人，并显示行进轨迹，实时输出坐标信息和时间戳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11、支持对经过设定区域内的行人进行人体检测并抓拍，可抓拍人体正面、背面、侧面人体图片并上传至平台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D3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3F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B7E674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444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B72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手动报警按钮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913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1、支持报警信号传至警务值班室提示。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F5E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F0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CCF604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9F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B2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4B3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1、额定工作电压(V/DC) 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2、工作电压范围(V) 9-15V；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3、工作电流范围(mA) ≤300；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4、工作温度(℃) ﹣20~﹢60℃；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5、声压(dB) ≥105dB/m；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6、连续工作时间 ≥45min 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7、闪灯次数(分钟) 200±30。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15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9B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BF4C8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F51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C0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DF22">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37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88C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7FB6BC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71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EA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300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1、使用范围：木门、防火门、金属门、玻璃门等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2、输入电压：DC12V或DC24V±10%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3、工作电流：12V/380mA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4、安全类型：通电上锁、断电开锁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5、带锁状态信号反馈</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26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0D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6EC973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03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0E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L型支架（双门磁力锁）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72F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1、用途：用于安装双门磁力锁锁体</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E6E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C6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277BD1B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A63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756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B26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84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F85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221EBB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36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24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971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2D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C03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4432177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78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E5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683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16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CE8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2219CE6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6760">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8E60">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（十三）综合作战指挥中心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AD77">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7AFB">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0FB0">
            <w:pPr>
              <w:snapToGrid w:val="0"/>
              <w:spacing w:line="240" w:lineRule="auto"/>
              <w:jc w:val="center"/>
              <w:rPr>
                <w:rFonts w:hint="eastAsia" w:ascii="宋体" w:hAnsi="宋体" w:eastAsia="宋体" w:cs="宋体"/>
                <w:color w:val="auto"/>
                <w:sz w:val="21"/>
                <w:szCs w:val="21"/>
                <w:highlight w:val="none"/>
              </w:rPr>
            </w:pPr>
          </w:p>
        </w:tc>
      </w:tr>
      <w:tr w14:paraId="2CB69DC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DB0E">
            <w:pPr>
              <w:widowControl/>
              <w:snapToGrid w:val="0"/>
              <w:spacing w:line="24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1F6C">
            <w:pPr>
              <w:widowControl/>
              <w:snapToGrid w:val="0"/>
              <w:spacing w:line="24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小间距LED显示屏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F75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1、像素间距≤1.5625mm;像素密度≥409600dots/m²;采用600*337.5箱体；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2、产品宽高比应为16:9；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3、色温：2000-9500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4、亮度/色度均匀性：98%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5、刷新率：≥3840Hz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6、产品的模组与主板采用磁吸接插件连接固定，无排线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7、产品的白屏下亮度可以调节，最高可≥2000cd/㎡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8、产品的对比度：5000:1；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9、产品的功耗≤133W/㎡；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DCC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A3F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平方</w:t>
            </w:r>
          </w:p>
        </w:tc>
      </w:tr>
      <w:tr w14:paraId="22FB550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8C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1B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解码拼控一体云主机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4B7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1、应具有不少于1对音频输入/输出接口，2个RJ-45千兆网络接口、2个RS485、2个 RS-232, 2个USB2.0, 1个USB3.0, 2个HDMI输入接口、6个HDMI输出接口，具 有开关按键、复位键；应支持8路报警输入、8路报警输出。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2、应支持不少于2路本地高清视频输入，不少于6路视频解码输出。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3、应支持4K高分辨率输入输出。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4、应具有电源、报警、网络三种指示灯。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5、在Web浏览器下，应具有GB/T 28181、Onvif、RTP、RTSP设置选项。应支持接入第三方生产厂家的前端设备进行解码。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6、应具有H.265、H.264 (Baseline/Main/High Profile)、MPEG4、MJPEG视频解码设置选项；具有 G.711A、G.711U、AAC、ADPCM 音频解码设置选项。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7、应能设置16个解码拼控预案，并支持快速调取。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386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FA8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930B36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28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51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智能LED控制器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343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1.支持1路4K@60和1路1080P@60视频源同时采集及输出；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2.支持极限带载最宽8192，最高4320；单网口最大带载65万像素，共8个输出网口，最大带载520万像素；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3.支持8bit采集及输出显示；支持RGB888、YUV444、YUV422采集；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4.支持1路HDMI2.0、DP1.2二选一视频输入，1路HDMI1.3视频输入；1个HDMI环出接口；8个千兆以太输出网口；1个百兆以太控制网口；1个USB2.0接口；1个RS232接口；1个RS485接口；1个光探头接口；4个按键或按键灯；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5.支持多台设备同步显示；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62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C1B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8E22C1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B8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BE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智慧用电智能配电柜（10KW）</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403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安装方式：壁挂式；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手动控制：一键启停；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时控控制：10组时间段设置；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自动控制：定时启停、联动停止；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中控控制：SmartIASConfig、WEB；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温度传感器：温湿度变送器；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烟雾传感器：吸顶式烟雾报警器；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输入电压：三相380V；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额定功率：10kW；</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输出路数：3；</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防雷：40kA，TGDY55II-40；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接口：RJ45网口</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5B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086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40CE247">
        <w:tblPrEx>
          <w:tblCellMar>
            <w:top w:w="32" w:type="dxa"/>
            <w:left w:w="64" w:type="dxa"/>
            <w:bottom w:w="32" w:type="dxa"/>
            <w:right w:w="64" w:type="dxa"/>
          </w:tblCellMar>
        </w:tblPrEx>
        <w:trPr>
          <w:trHeight w:val="532"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9B8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612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HDMI线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339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15米HDMI视频线。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D0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08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590CDF3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04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56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钢结构</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C61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屏幕安装支架，配套屏幕安装使用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887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56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平方</w:t>
            </w:r>
          </w:p>
        </w:tc>
      </w:tr>
      <w:tr w14:paraId="34D73B7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B98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DB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屏幕包边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D7D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小间距屏幕包边，彩色金属包边，颜色可选。</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8F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B0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r>
      <w:tr w14:paraId="3611464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11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CA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音柱</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F9F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1.频率范围不低于150Hz~14kHz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2.驱动单元：4x3"铁氧体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3.最大声压级不小于115dB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4.额定功率不小于100W最大功率不小于400W</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5.标称阻抗：8Ω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6.线阵列声柱扬声器，覆盖范围：H20°XV120°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DD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29C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39EB254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52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8BE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数字功放</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104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1.额定功率：≥8Ω250W*2，≥4Ω425W*2，≥2Ω720W*2，≥桥接8Ω850W*1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2.信噪比≥100dB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3.失真度THD：0.01%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4.输入阻抗：20kΩ(平衡)，10kΩ(非平衡)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5.频率响应：20HZ-20KHz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6.阻尼系数：≥5000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7.具有电源欠压保护、功放输出直流保护、过热保护、温度功率控制、过载功率控制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8.采用D类数字放大电路</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9EE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367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81ED5A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8E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08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数字音频处理器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514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1.模拟输入通道数量：≥8路，模拟输出通道数量：≥8路；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2.需支持自动混音，支持自动增益，每个通道支持自适应反馈抑制，支持噪声抑制；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3.需支持回声消除；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4.输入通道≥8段PEQ ，且提供不低于五种滤波器类型选择，输出通道具备≥8段PEQ,分频器、延时器、限幅器；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5.动态范围：≥110dB；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6.频率响应范围：不低于20～20kHz；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7.总谐波失真(THD+N)：≤-100dB；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8.≥4个GPIO接口可独立配置输入输出；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BC7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D0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94BB81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32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88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调音台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F26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1.支持≥8路XLR平衡单声道输入，支持≥2路立体声输入；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2.需内置效果器，≥16种DSP数字效果器；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3.输入通道应支持≥3段均衡调节；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4.输出通道支持≥7段图示均衡器；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5.≥2编组输出，≥2组AUX输出；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6.需支持48V幻象电源；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7.需支持USB音频播放MP3，USB录音，也可连电脑播放音乐；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8.需内置蓝牙5.0接收播放；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9.需支持适用全球供电电压；</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ED3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4CF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6C01B4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D3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4A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反馈抑制器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1999">
            <w:pPr>
              <w:widowControl/>
              <w:snapToGrid w:val="0"/>
              <w:spacing w:line="240" w:lineRule="auto"/>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1.≥4路卡侬和大二芯复合插头信号输入，每路信号支持独立的音量调节，独立的48V供电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2.配备10≥寸彩色LCD 超大条形屏幕，能够详尽展示产品各项信息;</w:t>
            </w:r>
          </w:p>
          <w:p w14:paraId="44F81141">
            <w:pPr>
              <w:widowControl/>
              <w:snapToGrid w:val="0"/>
              <w:spacing w:line="240" w:lineRule="auto"/>
              <w:jc w:val="left"/>
              <w:textAlignment w:val="top"/>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3.支持≥2路卡侬XLR输出，≥1组RCA线路输出。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4.内置≥16段均衡设置，每段均衡均可独立设置调节，支持一键复位设置、一键直通、实时保存。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5.支持手势控制，可以实现对设备的无接触操作和控制。</w:t>
            </w:r>
          </w:p>
          <w:p w14:paraId="57FFC51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6.支持中控控制，可支持音量调节、静音等操作进行控制。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2D2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9D3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53FE14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C1C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B98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时序电源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1C09">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1.支持不低于2寸彩色液晶智能显示窗，可实时显示当前电压，日期时间，通道开关状态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2.具备不低于8路开关通道输出，每路延时开启和关闭时间可自由设置（范围0~999秒，单位为秒）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3.支持面板Lock锁定功能，防止误操作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4.内置时钟芯片，可根据日期时间定时设置自动开关机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5.配置RS232接口，支持外部中央控制设备控制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6.配置不低于1路RJ45接口，支持通过网络控制时序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7.配置不低于1路485接口，支持通过485接口进行设备级联控制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8.支持不低于10组设备开关场景数据保存/调用，场景管理应用简单便捷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9.配置不低于63A空开,支持过载、短路保护；</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66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AFC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1ED670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00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A1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智能会议中心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853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1.可选配带有不少于4进2出SDI高清无缝切换矩阵，轻松管理多路视频信号。连接显示终端，支持画面无缝4分割，切换无黑屏，并实现电子会标、滚动字幕等功能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2.可选配专业音频DSP模块，可以实现话筒和音箱的分区处理和分区控制，可以抑制啸叫，提升话筒音量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3.具备不低于2路卡侬输出口，可与多种音频设备连接，使得系统得扩展更加灵活，具有不低于一路麦克风输入接口，可单独连接麦克风等其它音源设备；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4.配置不少于四路总线输出，每路总线支持不少于30只数字会议发言单元，主机支持不低于120台数字会议发言单元，可级联扩展主机，每个系统可容纳不少于65535台单元；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5.具备通过软件巡检话筒工作状态及故障报错功能，快速找出故障点功能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6.应支持话筒自定义主席机配置功能，可根据现场需要，临时定义任意单元为主席单元，并具有优先权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7.具备摄像模块，兼容VISCA/Pelco-D协议；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8.系统具有自动修复功能，支持线路的“热插拔”；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9.应内置≥2.8英寸LCD显示屏，内置输入、输出数字音量调节；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10.系统主机与控制电脑之间采用TCP/IP 连接控制方式，可以实现会议系统的后台控制，配合PC软件可以支持发言单元实现以下功能：人员档案管理、议程管理、 签到功能；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11.具有不低于1路RS-485接口，具备不低于1个RS-232接口，具备不低于1路EXTEND接口做为预留接口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12.具备不低于五种话筒管理模式：数量限制、先进先出、排队模式、声控模式、自由模式话筒管理模式；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13.信噪比:≥102dB，动态范围:≥106dB；</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7D7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0B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0BA9BB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0500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98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数字会议话筒单元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8E0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顶级金膜高保真麦克风音头，超指向性收音效果，音质更佳。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内置高性能CPU，处理速度更快，音质更佳。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有效收音角度100°可以防止邻近话筒干扰和抑制啸叫。</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配合视频切换台和摄像机，使用电脑预设后，可实现摄像机自动跟踪功能。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自定义主席机配置功能，可根据现场需要，临时定义任意单元为主席单元，主席单元无数量限制。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系统具有自动修复功能，支持线路的“热插拔”。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频率响应 40Hz-16KHz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信噪比 &gt;74 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动态范围 &gt;108 dB(1 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总谐波失真 &lt;0.05%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耳机输出接口 Ø 3.5 mm立体声插孔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拾音咪头 14mm直径镀金电容咪头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指向特性 超心型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灵敏度 -28 dB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频率响应 30Hz-18KHz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最大声压级 130 dB (THD&lt;3%)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2B2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A54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421480F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21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4B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T型线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3F7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用于话筒单元手拉手连接，线长：不小于2米+1米；</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E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4B1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5A9D416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67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62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会议系统公－公20米主缆</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40B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1.线缆长度≥20米;</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934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950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7C5376F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5D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57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无纸化服务器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5D0C">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1.支持网络通讯对接协议，与第三方中控对接；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2.支持不低于I5，16G内存，512G硬盘；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3.支持不低于一路HDMI、一路VGA信号输出。支持HDMI2.0输出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4.前面板应设有开机、重启键按钮，状态指示灯，可直观查看设备是否正常运行，方便快速重启设备；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5.不低于2个标准 RJ45 千兆网口接口，支持 110/100/1000Mbpss；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6.不低于4个USB3.0、4个USB2.0；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7.不低于2路RS232，支持RS422、RS485模式，最大可拓展6路；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8.支持不低于1路Line out, 1路Line_ IN；</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F7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051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B8FCD2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79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FD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多媒体会议平台综合管理软件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0C04">
            <w:pPr>
              <w:widowControl/>
              <w:snapToGrid w:val="0"/>
              <w:spacing w:line="240" w:lineRule="auto"/>
              <w:jc w:val="left"/>
              <w:textAlignment w:val="top"/>
              <w:rPr>
                <w:rStyle w:val="48"/>
                <w:rFonts w:hint="eastAsia" w:ascii="宋体" w:hAnsi="宋体" w:eastAsia="宋体" w:cs="宋体"/>
                <w:color w:val="auto"/>
                <w:sz w:val="21"/>
                <w:szCs w:val="21"/>
                <w:highlight w:val="none"/>
              </w:rPr>
            </w:pPr>
            <w:r>
              <w:rPr>
                <w:rStyle w:val="48"/>
                <w:rFonts w:hint="eastAsia" w:ascii="宋体" w:hAnsi="宋体" w:eastAsia="宋体" w:cs="宋体"/>
                <w:color w:val="auto"/>
                <w:sz w:val="21"/>
                <w:szCs w:val="21"/>
                <w:highlight w:val="none"/>
              </w:rPr>
              <w:t>1.支持跨操作平台组网、无线有线混合组网；</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2.支持管理、控制、数据交互、服务等功能，支持远程登录web管理；支持对服务器进行统一配置管理，包括会议服务器、流媒体服务器。配置其名称、ID、网络地址、备注等详细信息；</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3.软件支持三种以上的背屏硬件及通讯方式（TCP为独立IP背屏、USB可拓展无线、扩展为VGA输出）；</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4.软件对在线离线设备实时监控显示，并通过参数配置对异常设备做故障判断；</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5.软件具备多种签到模式，如免签、访客、密码、签名、人脸识别（定制版本）；</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6.支持多个设备可以被多个会议室同步添加，实现主会场、分会场、合并会场场景应用；</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7.软件支持多会议室的（1对多、多对1、1对1）流媒体投影管理，实现互联互通最后一步；</w:t>
            </w:r>
            <w:r>
              <w:rPr>
                <w:rStyle w:val="48"/>
                <w:rFonts w:hint="eastAsia" w:ascii="宋体" w:hAnsi="宋体" w:eastAsia="宋体" w:cs="宋体"/>
                <w:color w:val="auto"/>
                <w:sz w:val="21"/>
                <w:szCs w:val="21"/>
                <w:highlight w:val="none"/>
              </w:rPr>
              <w:br w:type="textWrapping"/>
            </w:r>
            <w:r>
              <w:rPr>
                <w:rStyle w:val="48"/>
                <w:rFonts w:hint="eastAsia" w:ascii="宋体" w:hAnsi="宋体" w:eastAsia="宋体" w:cs="宋体"/>
                <w:color w:val="auto"/>
                <w:sz w:val="21"/>
                <w:szCs w:val="21"/>
                <w:highlight w:val="none"/>
              </w:rPr>
              <w:t>8.支持参会人员会议模拟排位，在会议室实际可视化图形布局上通过拖拽的方式设置参会人员排位，每个议题都可以设置不同的人员排位；</w:t>
            </w:r>
          </w:p>
          <w:p w14:paraId="48AA5B78">
            <w:pPr>
              <w:widowControl/>
              <w:snapToGrid w:val="0"/>
              <w:spacing w:line="240" w:lineRule="auto"/>
              <w:jc w:val="left"/>
              <w:textAlignment w:val="top"/>
              <w:rPr>
                <w:rFonts w:hint="eastAsia" w:ascii="宋体" w:hAnsi="宋体" w:eastAsia="宋体" w:cs="宋体"/>
                <w:color w:val="auto"/>
                <w:sz w:val="21"/>
                <w:szCs w:val="21"/>
                <w:highlight w:val="none"/>
              </w:rPr>
            </w:pPr>
            <w:r>
              <w:rPr>
                <w:rStyle w:val="48"/>
                <w:rFonts w:hint="eastAsia" w:ascii="宋体" w:hAnsi="宋体" w:eastAsia="宋体" w:cs="宋体"/>
                <w:color w:val="auto"/>
                <w:sz w:val="21"/>
                <w:szCs w:val="21"/>
                <w:highlight w:val="none"/>
              </w:rPr>
              <w:t xml:space="preserve"> 9.软件电子桌牌支持图片、图片加文字显示，字段对象自定义设计。电子桌牌的底图可以根据要求定制并上传，支持格式JPG，分辨率768*1080；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491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7BF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2BEA9C3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D7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AFB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流媒体服务器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8C1E">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1.支持多会议室拆分组合应用；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2.配置不低于i5、8G内存、128G固态硬盘；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HDMI最大分辨率为4096X2160@60Hz，将会场终端信号、会议标语投屏广播显示，支持将投票结果和签到结果投屏广播显示，与会场同步信号跟踪功能，当会场无同步信号时，输出接口输出画面为会议欢迎标语，会议欢迎标语背景颜色与字体字号可根据会议要求自行设置，满足会场的实际需求，避免大屏幕或投影机待机状态或无信号输入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4.支持信号格式自动转换功能，网络数据信号转换成数字信号，数字信号自动转换成网络信号传输。系统提供外部音视频信号和内部音视频信号互联互通的流媒体平台；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5.支持将4组不同的无纸化系统屏幕广播画面以4分屏画面投屏输出显示；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6.支持第三方录制软件使用，可以适用于各种直播场景；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7.支持软件直接调取采集卡驱动，可以实现预览、抓图、共享等功能；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8.具有录音USB接口，可录制和输出现场音频信号；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9.具备≥1路HDMI视频、≥1路VGA视频输出接口、≥1路3.5mm音频输入接口和≥1路3.5mm音频输出接口，实现音视频同步输入输出；具备≥6个USB接口、≥2个SATA3.0、≥SATA2.0；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6E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484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732837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A5A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3D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多媒体会议智能互动投影服务软件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8888">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1.多台客户端信号源的音视频信号编解码转换管理；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2.支持跨操作平台组网、无线有线混合组网；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3.支持无纸化会议的多点传送组控传输控制及管理；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数据信息双备份机制，数据本地服务器同步存储、服务器数据库核对后执行存储数据归档入库，映射触发事件建表后，对比本地存储数据与数据库主从信息表是否一致，保证终端断网、断电会议资料不会丢失；</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5.同屏PPT文件，视频动态播放，保证源文件播放；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6.会议终端一键同屏，或者单一同屏到大屏幕显示；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7.支持选择广播信号源、强制同屏、结束同屏、结束会议等功能；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8.支持外置U盘内任何文件一键同屏到其他会议终端与大屏幕；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9.大屏显示时当会场无同步信号时，输出接口始终显示会议标语；</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16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D7A5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6C41515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413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2E3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无纸化双屏触摸终端升降器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1F5C">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触控超薄高清显示屏与升降器一体化设计，无外露连接线、无连接背板、无外露螺丝；</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不低于15.6英寸超薄液晶触屏显示器，分辨率达1920*1080P，显示效果清晰亮丽；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一体化双面液晶显示：后置电子桌牌显示，搭配配套软件可显示与会者信息等，支持变更与会者自动跟随改变，支持自定义显示模板；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支持HDMI和VGA两路信号输入，当只有一路信号输入时，屏幕会自动识别信号，当两路信号同时输入时，可通过面板按键手动切换或者中控控制切换，当无信号输入时，屏幕自动进入省电模式；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内置环通输出电源插座，可给终端供电减少终端电源插座布线，工程现场布线更加整洁美观；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桌面面板带USB接口，通过连接U盘可浏览文件或上传文件；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技术参数：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触摸屏：支持触摸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升降时间：28S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仰角角度：0-30°可调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屏幕尺寸：15.6"</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屏幕比例：16：9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屏幕分辨率：1920*1080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视频接口：主屏1路HDMI、1路VGA输入，支持中控控制切换；副屏1路VGA输入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控制接口：1路控制显示屏升降， 1路开/关机USB接口，1路数据传输USB接口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显示器厚度：≤7.65mm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背屏的尺寸：≥10寸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副屏幕尺寸：≥10英寸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副屏幕：不支持触摸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副屏分辨率：≥1280*800(10寸）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面板尺寸：≤430*70*3MM（长×宽×高）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9B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A77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BC1E51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37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F55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无纸化终端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F86E">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CPU型号：Intel/corei5 处理器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内存≥8GB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硬盘≥128G 固态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网卡：RJ45*1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前端接口不少于1*开关键  3*USB 1*音频输入输出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后端接口不少于1*电源接口 1*HDMI接口 1*VGA接口  4*USB  1*音频输出输入 1*网口端口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操作系统：Win7/10/Linux（默认Win10）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92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FD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15BAB7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B5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27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多媒体会议客户端可视化应用控制软件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DE02">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1.支持跨操作平台组网、无线有线混合组网；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2.支持会议终端的多角色设定，可以灵活指定会议主席、会议秘书席位；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3.支持会议前的欢迎界面自动根据会议自定义设置更新显示，显示内容可自定义包括但不限于本次会议主题、本次会议时间；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4.支持电子桌牌显示参会人员信息；显示内容可自定义包括但不限于参会人员中英文姓名、职务、单位；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5.支持设置信息化签到方式，不少于5种签到方式，包括直接签到、手写签到、个人密码签到、会议密码签到、可对接人脸识别、指纹、身份证等特殊签到模式，会议签到方式通过服务器端进行设置；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通过会议议题分组查看会议资料，支持常用版本的Word、PPT、PDF、Excel、图片、视频等会议资料的查阅；支持上传Word、PPT、PDF、Excel等文档类资料在移动平板使用时，在平板系统内直接打开，不跳转第三方软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7.支持显示议题名称、资料、汇报人、列席人员、密级，支持待汇报/已汇报区分议题，支持搭配门口屏软件进行议题汇报。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8.支持会议资料查阅的过程中进行批注、标记功能，批注内容自动保存，保证终端断网、断电会议资料不会丢失；支持原文批注、pdf多人签名等功能；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9.支持参会人员同屏申请指定无纸化终端跟随自己的屏幕查看会议资料，同屏支持普通跟随和强制跟随；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10.异地开会会后签字，打开签字功能直接在文件上签字；</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9FA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92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1629E4E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FF3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73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交换机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0FC4">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24口千兆电+4千兆光口企业弱三层网管交换机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29A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897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5011EE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E88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69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定制长方形会议桌</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A6B8">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外形尺寸：高度740~760mm可调，长度5740mm，宽度1600mm。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1.整个会议桌的组成为模块化结构，用户可以根据自己的需求增加或减少模块；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2.会议桌深度1600mm，提供405mm的腿部空间和纵向不小于500mm桌面操作应用空间，工作台面到地面距离为750-770mm，满足人机工程学要求；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框架结构：主体框架结构使用优质冷轧碳钢矩形管，其中前端面板支撑臂采用厚度为2.0mm（公差±0.2mm）矩形管切割加工，主体框架采用规格为40mm*50mm规格，2.0mm厚（公差±0.2mm）优质冷轧碳钢矩形管，采用激光切管工艺加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4.台面板：面板使用刨花板双面贴防火板，面板整体厚度不低于27mm，符合相关环保标准。面板前侧采用鸭嘴边封边形式，鸭嘴边厚度为55mm，宽度为24mm；面板连接采用箭头槽样式，通过M6螺杆连接一体；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5.前后门板应使用1.2mm厚的优质冷轧钢板制作，整体厚度为20mm，门板表面应采用静电喷塑工艺。连接铰链应使用高档五金件，应具有质轻，手感好，开关门噪音小等优点，保证其200000次无障碍开启。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F73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10 </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1B2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r>
      <w:tr w14:paraId="3880E01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A36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20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定制椅子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039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1、符合公椅行业标准QB/T2280-2007，以及通过美国BIFMA5.1  2011测试。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2、背：通过12万次后拉疲劳测试和79KG静压测试。背框为尼龙加纤（PA+GF）高强度塑料材质；柔韧度高，受撞击能力强度强，腰包有加气功能，上下调节。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3、座： PA+GF（尼龙+玻璃纤维），能承受102KG冲击测试，座可前后滑动5CM。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3、螺丝：经过冷热加硬、电脑烤漆处理。螺齿喷防退漆，长久使用螺丝不会松退，不会发出响声。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4、气压杆：通过旋转测试，360度1个周期，测试12万次；通过升降测试10万次。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5、五爪脚：PA尼龙，上面不锈钢装饰片，线条优美，可通过1136KG静力测试。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6、脚轮：PA+PU脚轮，能通过2千次阻碍测试和9万8千次平滑测试。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7、底盘：A3钢，分体逍遥，可自动根据人体重量调节逍遥力度。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8、扶手：分别PU扶手，ABS电镀扶手盒，PA尼龙扶手杆，扶手能上下升降，能通过76KG垂直静压测试，40KG水平静压测试和40KG侧压疲劳测试。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9：面料：背，涤纶网；座，特网，PE+涤纶。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F8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13 </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978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4FDD3BD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B74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F03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5E3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002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C1C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6FF5FD1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DF9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C74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27F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23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2D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0AFB979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AB8A0">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A5B9">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（十四）法制大讲堂</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77A3">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B19B">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F626">
            <w:pPr>
              <w:snapToGrid w:val="0"/>
              <w:spacing w:line="240" w:lineRule="auto"/>
              <w:jc w:val="center"/>
              <w:rPr>
                <w:rFonts w:hint="eastAsia" w:ascii="宋体" w:hAnsi="宋体" w:eastAsia="宋体" w:cs="宋体"/>
                <w:color w:val="auto"/>
                <w:sz w:val="21"/>
                <w:szCs w:val="21"/>
                <w:highlight w:val="none"/>
              </w:rPr>
            </w:pPr>
          </w:p>
        </w:tc>
      </w:tr>
      <w:tr w14:paraId="286EC33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8BA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41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激光投影</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9F4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 显示技术：3LCD，尺寸≥0.64英寸。</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 亮度≥5300lm，分辨率：WUXGA（1920*1200）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 对比度：4000000：1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 画面均匀度：≥90%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 投射比：1.37-1.65  宽高比：16:10（兼容4:3）</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 光源寿命：激光二极管（正常模式：20000h，经济模式：25000h）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 数字梯形校正：垂直±40°（自动+手动），水平：±15°（手动）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 输入接口：电脑：VGA（D-sub 15pin）*1，电脑音效：Audio in：mini jack*1（3.5mm），视频：HDMI*2，Video*1（RCA），其他接口：USB*2</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 输出接口：VGA（D-sub 15 pin）*1，Audio out：（mini jack）*1（3.5mm）。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 控制接口：RS232C（D-sub 9pin）*1，RJ-45*1（Control）</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 电脑信号：VGA,SVGA,XGA,SXGA,WXGA,WUXGA,MXGA,MSXGA,WSXGA+,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UXGA/Mac</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 视频输入信号：PAL,SECAM,NTSC(480i，480p，565P，576i，576p，720p，1080i，1080p)</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 扫描频率：水平15-90kHz，垂直：24-85kHz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 噪音：正常模式：35dB，经济模式：28dB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 投影方式：前投/背投；桌面/吊装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16.包含150寸幕布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17.吊架，线材等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62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AD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53F5471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A3E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53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音柱</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A74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1.频率范围不低于100Hz-20kHz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2.驱动单元：8x3寸低音单元，1x1寸高音单元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3.最大声压级不小于120dB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4.额定功率不小于300W最大功率不小于1200W</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5.标称阻抗：4Ω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6.线阵列声柱扬声器，覆盖范围：H30°XV160°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F1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F5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14CDE2F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D9A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38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数字功放</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DC3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1.额定功率：≥8Ω450W*2，≥4Ω765W*2，≥2Ω1300W*2，≥桥接8Ω1530W*1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2.信噪比≥105dB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3.失真度THD：0.01%</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4.输入阻抗：20kΩ(平衡)，10kΩ(非平衡)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5.频率响应：20HZ-20KHz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6.阻尼系数：≥5000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7.具有电源欠压保护、功放输出直流保护、过热保护、温度功率控制、过载功率控制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8.采用D类数字放大电路</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EED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D2C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7F5BEC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3A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48C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数字音频处理器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530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1.模拟输入通道数量：≥8路，模拟输出通道数量：≥8路；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2.需支持自动混音，支持自动增益，每个通道支持自适应反馈抑制，支持噪声抑制；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3.需支持回声消除；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4.输入通道≥8段PEQ ，且提供不低于五种滤波器类型选择，输出通道具备≥8段PEQ,分频器、延时器、限幅器；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5.动态范围：≥110dB；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6.频率响应范围：不低于20～20kHz；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7.总谐波失真(THD+N)：≤-100dB；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8.≥4个GPIO接口可独立配置输入输出；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FA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45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2EF581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2D9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9A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调音台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55F6">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1.支持≥8路XLR平衡单声道输入，支持≥2路立体声输入；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2.需内置效果器，≥16种DSP数字效果器；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3.输入通道应支持≥3段均衡调节；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4.输出通道支持≥7段图示均衡器；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5.≥2编组输出，≥2组AUX输出；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6.需支持48V幻象电源；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7.需支持USB音频播放MP3，USB录音，也可连电脑播放音乐；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8.需内置蓝牙5.0接收播放；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9.需支持适用全球供电电压；</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12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72F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521785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AE9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79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反馈抑制器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C5E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1.≥4路卡侬和大二芯复合插头信号输入，每路信号支持独立的音量调节，独立的48V供电；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2.配备10≥寸彩色LCD 超大条形屏幕，能够详尽展示产品各项信息;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3.支持≥2路卡侬XLR输出，≥1组RCA线路输出。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4.内置≥16段均衡设置，每段均衡均可独立设置调节，支持一键复位设置、一键直通、实时保存。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5.支持手势控制，可以实现对设备的无接触操作和控制。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6.支持中控控制，可支持音量调节、静音等操作进行控制。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2ED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E6C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D14144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622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94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时序电源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269A">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1.支持不低于2寸彩色液晶智能显示窗，可实时显示当前电压，日期时间，通道开关状态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2.具备不低于8路开关通道输出，每路延时开启和关闭时间可自由设置（范围0~999秒，单位为秒）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3.支持面板Lock锁定功能，防止误操作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4.内置时钟芯片，可根据日期时间定时设置自动开关机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5.配置RS232接口，支持外部中央控制设备控制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6.配置不低于1路RJ45接口，支持通过网络控制时序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7.配置不低于1路485接口，支持通过485接口进行设备级联控制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8.支持不低于10组设备开关场景数据保存/调用，场景管理应用简单便捷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9.配置不低于63A空开,支持过载、短路保护；</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FA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D60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62CA0D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9F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DC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智能会议中心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73F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1.连接显示终端，支持画面无缝4分割，切换无黑屏，并实现电子会标、滚动字幕等功能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2.可选配专业音频DSP模块，可以实现话筒和音箱的分区处理和分区控制，可以抑制啸叫，提升话筒音量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3.具备不低于2路卡侬输出口，可与多种音频设备连接，使得系统得扩展更加灵活，具有不低于一路麦克风输入接口，可单独连接麦克风等其它音源设备；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4.配置不少于四路总线输出，每路总线支持不少于30只数字会议发言单元，主机支持不低于120台数字会议发言单元，可级联扩展主机，每个系统可容纳不少于65535台单元；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5.具备通过软件巡检话筒工作状态及故障报错功能，快速找出故障点功能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6.应支持话筒自定义主席机配置功能，可根据现场需要，临时定义任意单元为主席单元，并具有优先权</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7.具备摄像模块，兼容VISCA/Pelco-D协议；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8.系统具有自动修复功能，支持线路的“热插拔”；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9.应内置≥2.8英寸LCD显示屏，内置输入、输出数字音量调节；</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DB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83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6E420A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10C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8A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数字会议话筒单元</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FEB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顶级金膜高保真麦克风音头，超指向性收音效果，音质更佳。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内置高性能CPU，处理速度更快，音质更佳。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有效收音角度100°可以防止邻近话筒干扰和抑制啸叫。</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配合视频切换台和摄像机，使用电脑预设后，可实现摄像机自动跟踪功能。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自定义主席机配置功能，可根据现场需要，临时定义任意单元为主席单元，主席单元无数量限制。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系统具有自动修复功能，支持线路的“热插拔”。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频率响应 40Hz-16KHz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信噪比 &gt;74 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动态范围 &gt;108 dB(1 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总谐波失真 &lt;0.05%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耳机输出接口 Ø 3.5 mm立体声插孔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拾音咪头 14mm直径镀金电容咪头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指向特性 超心型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灵敏度 -28 dB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频率响应 30Hz-18KHz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最大声压级 130 dB (THD&lt;3%)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A0E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F4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167355B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38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FA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T型线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AFE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用于话筒单元手拉手连接，线长：不小于2米+1米；</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C9E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18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0EFEC0E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B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0A2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会议系统公－公20米主缆</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B5F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1.线缆长度≥20米;</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B1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EB6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1FA5B9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4F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161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8B0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57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E0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5486B5C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A6B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AB4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4B4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462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731F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A736D5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EEC3">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DFA1">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（十五）视频监控室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3EC6">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33DCE">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042B">
            <w:pPr>
              <w:snapToGrid w:val="0"/>
              <w:spacing w:line="240" w:lineRule="auto"/>
              <w:jc w:val="center"/>
              <w:rPr>
                <w:rFonts w:hint="eastAsia" w:ascii="宋体" w:hAnsi="宋体" w:eastAsia="宋体" w:cs="宋体"/>
                <w:color w:val="auto"/>
                <w:sz w:val="21"/>
                <w:szCs w:val="21"/>
                <w:highlight w:val="none"/>
              </w:rPr>
            </w:pPr>
          </w:p>
        </w:tc>
      </w:tr>
      <w:tr w14:paraId="6B17505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401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AA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液晶拼接屏</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536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1、屏幕尺寸≥55寸，LED光源；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2、分辨率：1920*1080，双边拼缝≦3.5mm；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3、亮度≥500cd/m2，对比度≥1400:1；图像显示清晰度≥950TVL，亮度鉴别等级≥11级；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4、液晶拼接单元采用后壳传导散热方式，具有导热柱设计，屏体内部元器件热量可传导至后壳进行散热；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5、液晶拼接单元具有十一级灰阶色度、亮度校正功能，使各灰阶整墙一致性≥85%；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541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D6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318A357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48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4A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落地支架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C32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定制积木式落地支架，配套屏幕使用，钢材质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96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97E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A21BC8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34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966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高清线缆</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DBD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配套屏幕安装所使用高清线缆</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73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60A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76474F8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FB6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C23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高清解码器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AE7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1、应具有1对音频输入/输出接口，2个RJ-45千兆网络接口、2个RS485、2个 RS-232, 2个USB2.0, 1个USB3.0, 2个HDMI输入接口、6个HDMI输出接口，具 有开关按键、复位键；应支持8路报警输入、8路报警输出。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2、应支持不少于2路本地高清视频输入，不少于6路视频解码输出。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3、应支持4K高分辨率输入输出。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4、应具有电源、报警、网络三种指示灯。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5、在Web浏览器下，应具有GB/T 28181、Onvif、RTP、RTSP设置选项。应支持接入第三方生产厂家的前端设备进行解码。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6、应具有H.265、H.264 (Baseline/Main/High Profile)、MPEG4、MJPEG视频解码设置选项；具有 G.711A、G.711U、AAC、ADPCM 音频解码设置选项。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7、应能设置16个解码拼控预案，并支持快速调取。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8、应支持分辨率4K(3840×2160)背景图显示(可通过U盘读入)，应能在系统未添加通道时显示背景图。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9、最大应支持整机96通道解码显示。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10、应支持多型号进行多台混搭级联使用；级联后最高可支持54路解码输出和拼接控制。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6B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A38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8AD4BC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5A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E64E">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2F5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A90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FF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04884A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54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C1A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四联操作台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0E8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操作台主框架及承重部分采用δ2.0mm 的 SPCC-SC 一级品冷轧钢板精工制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作，前后门及其他采用国际标准δ1.2mm—δ1.5mm 的 SPCC-SC 一级品冷轧钢板精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工制作，表面处理采用静电喷塑工艺（静电喷塑：经酸洗磷化后，静电喷涂，180℃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—200℃恒温处理，效果有抗老化，抗变形，吸附力强等优点），整体美观大方，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符合人体工程学要求。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操作台整体流线型简洁明快，拼接平整，整体拆卸灵活。台面配以直径φ50mm —φ60mm 的鼠标过线孔，开启盖方便过线，台配置内嵌式键盘抽屉，金属制作，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抽拉式静音滑轮，在保证滑动顺畅的前提下更加坚固耐用。抽拉灵活、平滑、无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噪音；下箱前门按客户要求配备标准 U 板；冲散热孔完美散热，内部安装标准 19”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机柜式机架及主机托盘；并配备有预留强弱电分离走线槽及捆线板。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产品表面处理为静电喷塑和热镀锌工艺流程概述为：制图→编程→成形→去</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油去污→热磷化→表面刮导电腻子等（预处理）→喷塑（颜色可选）；内部部分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结构件采用热镀锌钢板。</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03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641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74026A4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6F8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8AC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椅子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43A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高精密高亮管材，表面电镀处理，光亮耐腐蚀、防锈；人性化脚垫设计，防划伤地板；一体成型弓形结构稳固，承重力强，无安全隐患。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高密度横纹网布，舒适透气，不易松垮；坐垫包填高密度海绵，韧性强，坐感柔软，高弹舒适；流线型扶手，满足各种肘部需求。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人体工学设计椅背，曲线设计，贴合人体生理曲线，科学贴合腰背，支撑力强。</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308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ED2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把</w:t>
            </w:r>
          </w:p>
        </w:tc>
      </w:tr>
      <w:tr w14:paraId="03653E0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885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1D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E30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59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77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0AE9FFF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FB3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7A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25F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38D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36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07B81FA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BADB">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4AE2">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（十六）案卷保管室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798E">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1774">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9420">
            <w:pPr>
              <w:snapToGrid w:val="0"/>
              <w:spacing w:line="240" w:lineRule="auto"/>
              <w:jc w:val="center"/>
              <w:rPr>
                <w:rFonts w:hint="eastAsia" w:ascii="宋体" w:hAnsi="宋体" w:eastAsia="宋体" w:cs="宋体"/>
                <w:color w:val="auto"/>
                <w:sz w:val="21"/>
                <w:szCs w:val="21"/>
                <w:highlight w:val="none"/>
              </w:rPr>
            </w:pPr>
          </w:p>
        </w:tc>
      </w:tr>
      <w:tr w14:paraId="162284F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8D1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45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E7B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7C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2C1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BF3E20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51B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DC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r>
              <w:rPr>
                <w:rFonts w:hint="eastAsia" w:ascii="宋体" w:hAnsi="宋体" w:eastAsia="宋体" w:cs="宋体"/>
                <w:color w:val="auto"/>
                <w:kern w:val="0"/>
                <w:sz w:val="21"/>
                <w:szCs w:val="21"/>
                <w:highlight w:val="none"/>
              </w:rPr>
              <w:t>）</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3F9B">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654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51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09B465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16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DA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高拍仪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E4E3">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1、小巧便携，产品可折叠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2、最大拍摄A4幅面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3、高清晰定焦镜头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4、标配LED三级调光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5、标配纸张定位软垫</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88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B8D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8B757C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E54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E7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案卷管理柜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E39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生产工艺：采用数控设备，经剪切、冲压、折弯，焊接加工加工而成。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加工材料：金属部分均采用优质冷轧钢板全钢结构，整板折弯成型，结构紧固，外形美观坚固，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钢板规格：料厚根据部位合理搭配。金属结构：组合拼装，安装方便快捷，外形美观实用。主框架使用标厚2.0mm厚度的冷轧钢板，硬度高不易变形。前后门板使用不低于1.0mm厚度冷轧钢板，表面使用高品质环保喷涂涂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表面处理：钢制部分经脱脂、酸洗、防锈磷化处理，表面静电喷塑，（耐酸碱，抗腐蚀，防静电）。独特的静电喷塑工艺，达到BS6497国际标准；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颜色可选定：根据要求定制颜色。支持7种智能开锁方式</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C90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2DB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组</w:t>
            </w:r>
          </w:p>
        </w:tc>
      </w:tr>
      <w:tr w14:paraId="4D68782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3F5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24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DE49">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F5A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D67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DDBACB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438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1F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BEF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1、DC12V2A。</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F72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5B3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DEB406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30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07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E52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AB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A7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82093B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7D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E8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D4E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4B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D1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5E636C4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B68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354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0E9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6E2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588F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2D88F4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B7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17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447A">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028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214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864A7A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257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C5AA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两联操作台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6D2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操作台主框架及承重部分采用δ2.0mm 的 SPCC-SC 一级品冷轧钢板精工制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作，前后门及其他采用国际标准δ1.2mm—δ1.5mm 的 SPCC-SC 一级品冷轧钢板精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工制作，表面处理采用静电喷塑工艺（静电喷塑：经酸洗磷化后，静电喷涂，180℃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—200℃恒温处理，效果有抗老化，抗变形，吸附力强等优点），整体美观大方，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符合人体工程学要求。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操作台整体流线型简洁明快，拼接平整，整体拆卸灵活。台面配以直径φ50mm —φ60mm 的鼠标过线孔，开启盖方便过线，台配置内嵌式键盘抽屉，金属制作，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抽拉式静音滑轮，在保证滑动顺畅的前提下更加坚固耐用。抽拉灵活、平滑、无</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噪音；下箱前门按客户要求配备标准 U 板；冲散热孔完美散热，内部安装标准 19”</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机柜式机架及主机托盘；并配备有预留强弱电分离走线槽及捆线板。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产品表面处理为静电喷塑和热镀锌工艺流程概述为：制图→编程→成形→去</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油去污→热磷化→表面刮导电腻子等（预处理）→喷塑（颜色可选）；内部部分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结构件采用热镀锌钢板。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9D7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546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ABBC99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37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BD7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扫描仪</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391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支持国产操作系统，支持国产麒麟芯片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支持硬件裁切，完美影像处理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直通道走纸，支持厚度为 0.05～1.25mm 范围纸张的扫描，可以扫描身份证，银行卡等卡片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扫描速度最高可达36ppm/72ipm(彩色/灰度、黑白模式300dpi)。</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体积小，直通式短道送纸机构设计，扫描通过性好，适合票据扫描及商务扫描。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超音波侦测进纸是否重叠.避免漏扫</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高速USB2.0接口，即插即用。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3CA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13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D77BD6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C5F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ED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E5F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8C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D55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0AE0D65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74F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958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37A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208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32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43CFCD0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D077">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F466">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（十七）涉案财物室</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08EB">
            <w:pPr>
              <w:snapToGrid w:val="0"/>
              <w:spacing w:line="240" w:lineRule="auto"/>
              <w:jc w:val="left"/>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E9FAE">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EC36">
            <w:pPr>
              <w:snapToGrid w:val="0"/>
              <w:spacing w:line="240" w:lineRule="auto"/>
              <w:jc w:val="center"/>
              <w:rPr>
                <w:rFonts w:hint="eastAsia" w:ascii="宋体" w:hAnsi="宋体" w:eastAsia="宋体" w:cs="宋体"/>
                <w:color w:val="auto"/>
                <w:sz w:val="21"/>
                <w:szCs w:val="21"/>
                <w:highlight w:val="none"/>
              </w:rPr>
            </w:pPr>
          </w:p>
        </w:tc>
      </w:tr>
      <w:tr w14:paraId="7AD75AD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E1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93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拾音器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CAB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1、采用高保真预极化电容传声器，对前期音频无差别拾取；</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2、实时对拾取到的音频信号进行噪音滤除；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3、内置雷击保护、电源极性反接保护和静电保护；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4、内置可调电位器，音量调节最小可关闭（无声音输出）。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2C8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18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B39F57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94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E6D5">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9D4D">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82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0C9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5D9693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E46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66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物品抓拍摄像机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24B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1、不低于500万像素CMOS传感器，变焦范围4.3-142mm。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2、球机支持不少于1对音频输入/输出接口、1个TF卡槽、1个复位按钮、内置MIC，支持3路报警输入，2路报警输出。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3、至少支持H.265、H.264（Main Profile，High Profile，Baseline Profile）、M-JPEG视频编码方式。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4、变焦不低于33倍。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5、宽动态范围不低于120dB。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6、亮度鉴别等级不小于11级。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7、球机（F=1.6）彩色模式所需最低照度不高于0.002 lx，能基本分辨被摄目标的轮廓特征；黑白模式最低照度不高于0.001 lx，能基本分辨被摄目标的轮廓特征。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8、支持水平360°旋转；垂直旋转范围可达到-30°~90°。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9、水平手控最大速度不小于300°/s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10、支持三码流同时输出，主码流最大支持不低于3072×1728@30fps。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11、可通过客户端或者IE对亮度、对比度、饱和度等进行调整。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D3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9F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1824D0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27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174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76E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7C2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91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103D967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46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D31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BDC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DB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32D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2BBFF2E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107E">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7CC5">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（十八）外围安防</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B351">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9299">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26147">
            <w:pPr>
              <w:snapToGrid w:val="0"/>
              <w:spacing w:line="240" w:lineRule="auto"/>
              <w:jc w:val="center"/>
              <w:rPr>
                <w:rFonts w:hint="eastAsia" w:ascii="宋体" w:hAnsi="宋体" w:eastAsia="宋体" w:cs="宋体"/>
                <w:color w:val="auto"/>
                <w:sz w:val="21"/>
                <w:szCs w:val="21"/>
                <w:highlight w:val="none"/>
              </w:rPr>
            </w:pPr>
          </w:p>
        </w:tc>
      </w:tr>
      <w:tr w14:paraId="4BD4787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7F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D54C">
            <w:pPr>
              <w:widowControl/>
              <w:snapToGrid w:val="0"/>
              <w:spacing w:line="240" w:lineRule="auto"/>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●环境全景摄像机</w:t>
            </w:r>
            <w:r>
              <w:rPr>
                <w:rFonts w:hint="eastAsia" w:ascii="宋体" w:hAnsi="宋体" w:eastAsia="宋体" w:cs="宋体"/>
                <w:b/>
                <w:color w:val="auto"/>
                <w:kern w:val="0"/>
                <w:sz w:val="21"/>
                <w:szCs w:val="21"/>
                <w:highlight w:val="none"/>
              </w:rPr>
              <w:br w:type="textWrapping"/>
            </w:r>
            <w:r>
              <w:rPr>
                <w:rFonts w:hint="eastAsia" w:ascii="宋体" w:hAnsi="宋体" w:eastAsia="宋体" w:cs="宋体"/>
                <w:b/>
                <w:color w:val="auto"/>
                <w:kern w:val="0"/>
                <w:sz w:val="21"/>
                <w:szCs w:val="21"/>
                <w:highlight w:val="none"/>
              </w:rPr>
              <w:t>（核心产品）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EFC8">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1、不低于500万像素1/2.7英寸CMOS传感器 半球型摄像机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2、最低照度：彩色：≤0.0003lx（AGCON）黑白：≤0.0001lx（AGCON）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3、设备应配置电动变焦镜头，镜头焦距不低于2.8～12mm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4、摄像机支持不少于1个RJ45网口、1对音频输入接口、1对音频输出接口、1个SD卡槽（最大支持512GB）、1个复位按钮、内置MIC、1路报警输入接口、1路报警输出接口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5、有效红外补光距离不小于80m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6、应支持8kbps、32kbps、48kbps音 频采样率可设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7、应支持H.265、H.264（MainProfile,HighProfile,BaselineProfile）视频压缩格式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8、应支持G.711A、G.711U、ADPCM_D音频编码标准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9、信噪比应不低于60dB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10、宽动态应不低于120dB</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11、应支持拌线、周界智能分析功能，具有音频降噪、透雾设置选项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DC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F6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9D5E2B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555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A1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警戒一体机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D6D7">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1、1/1.8"英寸CMOS传感器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2、高清定焦镜头，F1.0超大光圈</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3、最低照度Color:0.0004Lux@(F1.0,AGC ON),B/W:0Lux with IR</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4、支持4颗白光补光，补光距离15米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5、支持三码流、主码流默认分辨率3072x1728@25fps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8、支持智能监控/人脸抓拍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9、支持主动场景，图像效果自适应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10、1个内置MIC和1个内置扬声器，支持双向语音对讲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11、2路报警输入，1路报警输出，1路音频输入，1路音频输出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12、供电：DC12V±25%；POE 802.3af</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90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70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B0BE0A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94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D9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电梯飞碟摄像机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5FD9">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1、1/2.8英寸CMOS传感器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2、2.8mm高清定焦镜头，ICR双滤切换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3、2颗红外灯，红外补光距离30米；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4、照度：彩色：0.0002Lux（AGC ON @F1.6）、黑白：0.0001Lux（AGC ON @F1.6）；</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5、支持三码流，主码流最高分辨率5MP@25fps；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6、支持周界绊线，人车分离；</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7、支持音频1入1出，报警1入1出，内置MIC、硬复位；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8、支持TF卡，最大支持512G；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9、支持IPv4, IPv6, IGMP, ICMP, ARP, TCP/IP,UDP, DHCP, PPPoE, RTSP, RTCP, DNS, DDNS, NTP, FTP, UPnP, HTTP, HTTPS, 802.1x, SNMP, QoS, RTMP（推流）；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10、DC12V±25%供电，支持POE供电及反向供电；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47E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15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CEC574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73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2C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枪机支架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E58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1、壁装支架。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BE6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02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54CDC4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12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BA3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全景枪球摄像机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4C3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1、全景通道 2.8mm高清镜头，分辨率不小于3840×1568；细节通道不低于一个400万 像素25 倍光学变倍、16 倍数字变倍高清镜头，分辨率不小于2560×1440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2、靶面尺寸：全景通道不小于1/1.8英寸；细节通道不小于1/2.7英寸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3、应具有不少于1个RJ45网口、1对音频输入/输出接口、1个复位按钮、TF存储接口，内置扬声器(支持音频对讲)；应支持不少于2路报警输入、1路报警输出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4、细节通道：应支持三码流同时并发输出，默认分辨率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主码流：分辨率为2560×1440,帧率为25帧/s,码率为4Mbps。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副码流：分辨率为704×576,帧率为25帧/s,码率为1Mbps。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三码流：分辨率为352×288,帧率为15帧/s,码率为0.5Mbps;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5、全景通道：应支持双码流同时并发输出，默认分辨率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主码流：分辨率为3840×1568,帧率为25帧/s,码率为4Mbps。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6、副码流：分辨率为1200×488,帧率为25帧/s,码率为1Mbps。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7、应内置加热模块，支持对全景通道镜头前玻璃进行加热；应内置风扇，支持风扇除雾功能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8、垂直旋转范围-25°~90°，水平旋转范围360°连续旋转</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9、最低照度：全景通道≤0.000031x(F=1.0,彩色模式),能基本分辨被摄目标的轮廓特征；细节通道≤0.00011x(F=2.0,黑白模式),能基本分辨被摄目标的轮廓特征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细节通道具有10颗红外灯和4颗白光灯：当环境照度低于一定值时，通过红外灯照射，可基本分辨距离800米处所摄建筑物目标的轮廓；通过白光灯照射，可基本分辨距离150米处所摄建筑物目标的轮廓。全景通道具有3颗白光灯：当环境照度低于一定值时，通过白外灯照射，可基本分辨距离80米处所摄建筑物目标的轮廓</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F2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04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A8B4E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FF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7A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球机支架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891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球机壁装支架。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9C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F7F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7CD449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CAD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EBD5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电梯无线网桥</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EF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配对方式：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成对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传输性能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无线传输距离：100米，最远可达300米</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带机量：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1路6MP IPC或2路2MP IPC；</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FF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DF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0E8A0F7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D0B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60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网络硬盘录像机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4100">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1、应支持接入1TB、2TB、3TB、4TB、6TB、8TB、10TB容量的SATA接口硬盘，可共接入16块SATA接口硬盘。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2、支持最大接入路数应不少于80路。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3、带宽总资源应不低于960M（接入带宽640M，转发带宽320M）。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4、应支持接入编码格式为H.264、H.265的视频图像。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5、应支持接入音频编码格式为G.711a、G.711u、ADPCM、AAC的摄像机。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具有2个100M/1000M自适应以太网口，2个前置USB2.0接口，1个后置USB3.0接口，2个HDMI接口，2个VGA接口，一对JACK音频输入/输出、一路BNC音频输出，2个RS-485控制接口，1个RS-232调试接口，16路报警输入接口，4路报警输出接口，一个eSATA接口，内置风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同时预览4路12MP（5520×2400）、6路8MP（4096×1800）、8路6MP（3840×1680）、9路5MP（2880×1620）、12路4MP（2699×1520）、16路3MP（2304×1296）、24路1080P（1920×1080）、48路720P（1280×720）、80路4CIF（704×576）分辨率通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8、应支持将接入的图像以多画面分割方式显示，分割为1/2/3/4/5/6/7/8/9/10/12/13/16/20A/20B/25/32/36/40/64/80画面；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9、当发生报警时，应可录制报警停止后10/15/30/60/600秒的视频录像；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10、可自适应显示器分辨率进行图像显示；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1EC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62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AA0232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DD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7F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人脸识别终端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992E">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1、设备拥有触摸显示屏，应采用嵌入式系统，有不少于1个TF卡槽，最大支持512G</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2、采用不低于1/2.8 2MP CMOS高清宽动态双摄像头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3、应采用双目相机，一路可见光摄像头和一路红外摄像头，设备WEB端应具有宽动态启闭选项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4、应支持人脸、人体移动预测，唤醒设备；应支持人脸、人体及物体移动侦测，唤醒白光补光灯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5、设备支持不少于1路电源接口、1路 RS-485 接口、1路10/100Mbps以太网口、1路韦根输入接口、1路韦根输出接口、1个USB接口、2路报警输入接口、1路报警输出接口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6、刷卡时，设备应有蜂鸣器提示音；应支持比对结果语音提示和语音音量调节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7、应支持比对结果图文提示功能；应支持本地视频预览、人脸动态捕捉；应支持查看人员信息、设备模式（如首脸/首卡开门、永久开门、永久关门等）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8、设备应具有补光功能，应支持不少于10000个用户，用户应能设置为管理员权限；设备应支持存储不少于10000个密码、10000张人脸库、10000张卡片、100000条本地进出记录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9、设备应具有显示功能，应支持红外及白光灯补光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10、设备应支持人脸识别、IC卡识读、二维码识读、密码识读的认证方式；应支持人脸+密码、人脸+刷卡、刷卡+密码组合的认证开门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562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A8D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0511FD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A21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F7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单门电磁锁</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8DE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1、280kg单门两线拉丝磁力锁；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2、锁状态LED灯指示；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3、通电上锁，无残磁、无机械磨损；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4、适用于90度开的任何有框门，如木门丶防火门丶玻璃门；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5、对于无框门，需要选配支架。</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77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EA1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43F0DDE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12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B1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L型支架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943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1、配合电磁锁使用。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EB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37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0ADA5B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232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865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门禁电源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936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1、全范围交流输入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2、直流电压DC12V</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3、额定电流6A</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4、额定功率72W</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72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859E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238C2A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77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FE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出门开关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F5BC">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1、适用空心门框及埋入式电器盒使用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2、PC防火材料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3、50万次机械使用寿命</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D7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C03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15ED807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36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35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8T监控级硬盘</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00E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1、空气填充；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2、接口：SATA 6Gb/s；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3、转速5400rpm；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4、256MB缓存；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5、最大持续传输速率180MB/s；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6、开机小时数8760；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7、平均故障间隔时间1,000,000小时；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5FC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D36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3A9FD89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A1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55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安防管理平台</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CEC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具备平台管理、图片存储、流媒体转发功能，可管理300路视频通道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自带国产化操作系统（欧拉），全中文WEB管理界面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支持视频监控，电视墙管理，门禁管理，停车场管理，报警管理、人员管理、人脸/车辆抓拍、客户端访问（支持B/S访问）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支持考勤管理、访客管理、客流管理、巡查管理功能，支持任意开启其中一项功能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可对后端设备进行管理，具体包括硬盘录像机、解码器、集中存储等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支持图片存储，标配1块4T硬盘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接入带宽128Mbps，转发带宽128Mbps</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A1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92C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2234282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8C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F5D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270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电源线、网线、音频线、排插、配件、桥架、管材，防雨箱及设备安装所需其它辅材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ED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BB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18D6E27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4D1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ED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A88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36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D6A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1729075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2F47">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81FF">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（十九）中心设备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0C87">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DAA6">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9720">
            <w:pPr>
              <w:snapToGrid w:val="0"/>
              <w:spacing w:line="240" w:lineRule="auto"/>
              <w:jc w:val="center"/>
              <w:rPr>
                <w:rFonts w:hint="eastAsia" w:ascii="宋体" w:hAnsi="宋体" w:eastAsia="宋体" w:cs="宋体"/>
                <w:color w:val="auto"/>
                <w:sz w:val="21"/>
                <w:szCs w:val="21"/>
                <w:highlight w:val="none"/>
              </w:rPr>
            </w:pPr>
          </w:p>
        </w:tc>
      </w:tr>
      <w:tr w14:paraId="0198A66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A4A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DD3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执法办案综合管理系统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06B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一、入出区管理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预约管理功能支持电话、网络、现场预约信息录入，登记大厅前台能够接收预约的提示消息，办案民警只能查看自己预约或者报备的信息；操作员能查看本场所预约或者报备的信息；领导可以查看本级及以下场所的所有预约或者报备的信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流程管控功能支持对嫌疑人带入办案区按照入区登记、人身安全检查信息登记、随身物品登记保管、信息采集、候问、讯(询)问、随身物品返还、离区管理的流程顺序完成办案活动。支持嫌疑人通过人证核验进行控制入出区，支持通过人员信息实时查看所在流程节点及功能区域信息和监控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入区登记功能支持嫌疑人入区手动录入信息、通过办案自助终端设备采集，支持平台在校验图片大小、清晰度和人脸占比后下发照片到前端相关设备，并对出入区嫌疑人进行抓拍比对是否是同一人，核查嫌疑人的身份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4、支持嫌疑人临时出区并绑定随同出区民警，重新入区时可以查询和复用临时出区的信息，支持人脸识别联动人员信息回显并进行出区登记；支持提交出区申请，根据审批结果判定是否能够出区。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5、支持同案标记，同一案件不同嫌疑人的主管、协管民警互相能够看到对方的案件信息，同时支持协同办案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6、涉案人员在区时长支持延长至24 小时或 48 小时；可检索延长操作记录或撤销最近一次的延长操作记录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7、支持民警和非嫌疑人批量入区登记，可填写入区原因、人员类型、国籍、案件性质、案由等信息，并可关联预约、嫌疑人；也可实现批量出区，并可按出区原因筛选出区录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8、未成年嫌疑人登记时，支持选择是否需要监护人，支持监护人员一同入区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二、安全检查管理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1、入区检查功能支持人脸快速登记人身安全检查、吸毒检测、信息采集信息，进行安全检查的民警强制与嫌疑人同性别，医疗人员可配置是否强制同性别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2、支持对嫌疑人的病情进行登记，可以在人形图对应的位置标记伤病情况且进行检查抓拍，支持嫌疑人对安全检查文书进行确定和签字捺印，平台保存其签字录像，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3、支持将人员身体检查情况录入系统；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4、支持根据人体部位标点进行伤痕抓拍；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5、支持记录人身安全检查环节的开始时间与结束时间；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6、支持电子签章及指纹捺印；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7、支持查看嫌疑人历史安检记录；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三、随身物品管理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1、物品暂存与物品返还功能支持人脸识别快速绑定人员进行财物暂存业务；支持接入智能和非智能 物品柜；支持财物暂存登记功能，并远程开柜存入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2、支持对物品进行拍照并自动上传照片，支持配合人脸识别打开物品柜；支持领取人登记身份证信息后确定领取并打开物品柜；支持记录随身财物存取情况和随身物品柜开柜记录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3、嫌疑人无随身财物时，支持以无财物暂存模式继续进行信息记录，未做财物暂存操作时平台可进行报警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4、支持可视化储物柜展示及列表展示，支持指定箱子开柜；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5、支持对财物进行暂存登记，支持记录物品名称、物品数量、计数单位、特征描述等物品信息；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6、支持登记多件物品；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7、支持对登记的财物分类标记，分为是否涉案，是否扣押；</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8、支持对物品进行拍照并自动上传图片；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9、支持嫌疑人随身物品暂存台账生成、预览、打印、导出；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10、支持通过姓名、证件号码查询存取记录；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四、信息采集管理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1、支持选择入区人员，登记信息采集项；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2、支持根据人员姓名、证件号码、采集状态、采集时间段查找采集信息；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3、支持嫌疑人进入办案区通过场所流程配置设置是否进行信息采集。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4、支持记录信息采集环节的开始时间与结束时间，生成完整的台账记录。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五、候问管理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1、候问管理功能支持对嫌疑人分配候问室，分配支持男女分离、同案分离、传染病、残疾人、未成年人分离等规则。可视化展示各候问室状态和当前在押人数及人员详细信息，并支持人员信息的修改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2、支持标记显示当前候问室男女、未成年人、特殊疾病人人数。给男/女、未成年人分配办案室时，系统会有相应提示。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3、支持看押登记、带出登记、返回候问室、历史记录等功能；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4、支持查看历史看押记录，并可导出；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5、支持显示当前所有候问室，每个候问室可容纳总人数和当前看押人数、看押人员类型、点击某个看押人员回显人员基本信息详情，支持修改人员基本信息，支持更换候问室；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6、支持候问带出后快速看押到原候问室；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7、支持查看候问室实时视频；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六、审讯管理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1、审讯管理功能支持自动或手动录入案件及审讯基本信息，支持预设办案笔录，笔录支持蒙文、维文，嫌疑人信息可自动关联并更新到笔录表头，支持选择辨认笔录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2、支持在副屏展示告知书，可全文朗读、 光标朗读、选择朗读告知书，并可打印告知书。支持资料管理，包括证据信息、证据文件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3、支持联动审讯椅或其他检测设备，监测嫌疑人心率、体温、血压、呼吸等生命体征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4、支持法律法规的关键字检索、查看功能，为办案提供法律依据，方便民警查询。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5、笔录支持嫌疑人信息自动关联并更新到笔录表头，无须手动录入。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6、笔录支持常用问答模板辅助民警讯问问答。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7、支持笔录校对及校对时朗读本地笔录；笔录校对时可支持放大、缩小。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8、支持查看案件的涉案财物，展示物品信息和操作记录，支持图形化和列表两种方式展示物品操作节点名称、操作时间等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9、支持查看案件的案卷文书，展示案卷信息和操作记录，支持图形化和列表两种方式展示案卷操作节点名称、操作人、操作时间、查看回执和抓拍等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七、人员定位管理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1、人员定位功能支持基于多图层叠加 2D、3D的电子地图，能够在地图上定义各定位区域；支持在电子地图上实时展示涉案人员及办案民警位置和报警警情位置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2、支持人员入区后在地图上展示人员详细位置，选择人员可以查看对应详细信息、在区实时视频、在区所有轨迹及录像、生命体征信息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3、支持回放人员在区视频，回放视频时地图上有对应轨迹画线；支持接收人员报警信号，可在电子地图上显示报警位置并弹出实时视频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自动调用关联的摄像头对定位人员进行视频跟踪；视频中支持人员顶气泡，顶气泡显示信息可通过平台配置，可根据人员角色,在线轨迹录像中顶气泡能固定在嫌疑人或当前画面中的人顶部，可随人员移动，可开关顶气泡，可配置并显示角色类型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八、饮食医疗管理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1、饮食休息管理支持涉案人员饮食和休息管理功能，支持休息的时间、饮食、上厕所和吃药等信息记录，并可进行相关信息的搜索；人员饮食休息登记表支持签字捺印和下载；支持批量添加人员饮食休息信息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2、医疗体检信息功能支持人脸快速进行医疗体检信息登记，支持选择医疗模板(治拘、治拘-卖淫、刑拘、吸毒),相关文书可在线编辑并签字捺印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酒精检测信息功能支持涉案人员以呼气式和抽血化验两种方法进行酒精检测的信息录入，录入信息包括录入时间、地点、区域、酒精浓度和照片，照片支持使用前端设备抓拍和或上传检测图片，支持检索检测的历史记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九、刻录管理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1、支持多种刻录归档方式：本地光驱刻录、审讯室前端刻录、中心前端同时刻录；支持全自动刻录；刻录光盘时，提示民警设置光盘密码，确认后再刻录光盘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2、支持吸毒检测录像同审讯录像一起刻录；支持单独案件下载，支持多案件批量下载，支持案件内选择性下载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3、支持对单个嫌疑人的证据资料(证据文件)、台账记录(台账视频、台账文书、签 字视频)、审讯记录(审讯视频(多个通道)、笔录、权力义务告知书、签字视频)进行光盘刻录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十、可视化管理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1、支持展示办案区数据(预约未入区、在区人数、临时出区、审讯中、看押中、安检/信采/存物、今日裁决出区)人数，支持列表查看数据详情；支持展示24小时动态、我的应用、我的申请等功能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首页功能支持展示系统通知(序号、报警类型、报警地点、报警时间),支持对系统中的报警进行实时展示；支持轮播在区涉案人员的信息，显示嫌疑人的照片以及其对应的各流程环节的完成状态；支持根据相关权限需求展示关联的案件相关信息，并可视化展示办案室、候问室的使用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3、大屏功能支持电子地图展示所辖范围内相关组织的情况，支持3D电子地图 ，支持自定义入口IP跳转到相应设备进行布防</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4、支持以柱形图的形式展示在区人员、功能用房、办案情况，以折线图的形式展示嫌疑人入区趋势；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5、支持以扇形图的形式展示重点人员、违规羁押、超时入出区、越界监测、体征异常、流程违规、异动报警、单警执法 的情况</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十一、参审指挥管理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1、支持协同办案，同案件的多个审讯室可互相查看对方的笔录和视频信息。在办案现场同级或上级机构领导可以打开即时指挥的会话界面进行查看预览和指挥，可通过即时通信功能进行文件及文件夹的传输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2、支持场所下民警使用即时通讯功能进行单独沟通、建群沟通，支持发送文字、语音、附件、音频、视频、共享模板等进行沟通</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3、文件传输，当有证据等资料需要传达到前端时，可直接通过即时通信功能实现文件及文件夹的传输。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4、文字交流，领导可通过打字的方式对前端审讯人员进行指挥。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5、语音通话，领导可通过语音的方式对前端审讯人员进行指挥，审讯人员也可通过语音的方式进行回复。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6、视频指挥，当指挥室安装高清摄像机时，可对前端审讯人员进行视频指挥，审讯人员可看到指挥室的视频画面。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7、智能筛选，指挥室界面只显示在用的审讯室，方便指挥人员选择。</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8、支持可视化显示办案室信息，包括使用状态、办案室名称、案件名称、嫌疑人、办案人员等。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9、支持视频预览、指挥参审两种模式。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10、支持视频预览时实时显示视频中人员基础信息。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11、视频预览支持通过软件对摄像机进行调整，支持切换通道切换实时视频画面。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12、支持案件证据资料的上传、下载操作。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13、支持向指挥终端模块推送新增或结束的案件。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14、远程指挥参审时，支持添加笔录批注，批注内容包括批注意见，作者，日期时间。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15、支持批注关联笔录，点击批注能够高亮显示。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16、审讯室置顶功能，可将审讯室置顶，同时有与已置顶的审讯室同案时，该审讯室也会被置顶。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17、支持并案指挥，获取同一个案件的办案室列表。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18、并案指挥时，支持显示每个办案室的案件信息及视频通道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19、支持同案的笔录历史数据分析，并按照问答模板类型生成不同的表格。</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20、支持设置常用问题及必答问题，指挥参审时可修改问题类型，并同步到案件相关的所有办案现场和指挥端。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十二、门禁管理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自动下发民警全部门禁权限和分别手动下发门禁权限，支持自动下发民警入区场所内所有门禁权限，支持民警入区时手动下发登记大厅权限；支持民警使用门禁卡和人脸识别两种方式开门；支持门禁卡加密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手动分配办案区门禁：当民警带嫌疑人入区登记、民警入区登记完成时，授权办案民警登记大厅的门禁；当分配办案室后，授权办案民警对应办案室门禁；当民警带嫌疑人出区或重新分配办案室时，收回原分配房间的门禁权限；临时出区返回再次登记入区时，重新下发登记大厅门禁权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3、支持自动分配办案区门禁：当民警带嫌疑人入区登记、民警入区登记完成时，授权办案民警办案场所内的门禁。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4、支持列表统计所有终端门禁状态；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5、支持批量开门、紧急全开、紧急全关操作。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6、管理人员可查询系统已添加门禁设备的开门记录，包括智能交互终端、人脸识别终端等。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7、支持列表统计办案区内所有门禁开启记录；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8、支持通过区域名称、开门人员、时间等条件查询门禁记录，支持导出门禁记录。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十三、视频巡查管理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1、支持按功能室进行人员定位视频筛选，以列表和图形两种模式展示非功能区域和功能区域，并可播放对应的回放视频，还可进行手动或智能视频补录功能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2、支持对常用通道进行收藏，支持视频巡检功能，支持相机云台控制，支持对相机控制灯光、电源、雨刷、锁定、透雾、宽动态、强光抑制和手动跟踪等功能的开启和关闭</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3、支持对违规行为保存抓拍照片和录像视频进行下发督导</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4、支持视频通道名称关键词和拼音首字母快速检索。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5、支持多标签视频通道浏览，扩展同时浏览的摄像头数量。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6、支持多屏/分屏显示视频预览/录像回放/电子地图。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7、多屏图像浏览，支持多个扩展屏输出图像。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8、支持窗口模式、最大化模式的显示方式。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9、发生报警触发后自动弹出相关画面在指定显示窗口进行显示。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10、支持视频图像组轮巡、支持视图组轮巡、支持跨服务器图像轮巡。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11、可实时查看和统计系统中设备的在线状态和通道的报警状态。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12、支持实时浏览的电子放大。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13、办案区内卫生间的视频通道查看可设置密码或者权限，保障嫌疑人隐私。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十四、巡更管理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1、巡更管理功能支持设置巡更点、设备、名称、地图点位、路线及路线的巡更点、巡更时间、周期、 点位/路线是否关联组织、关联组织类型、是否使用默认地图服务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2、支持对系统用户分配、取消分配、重新分配巡更卡并保存分配记录，可导入导出，支持巡更按照岗位排班或安排人值班，可以查看巡更计划、处理异常巡更点、保留巡更记录并可查看详情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十五、远程办案管理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1、会见管理功能支持本地会见和远程会见功能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2、支持远程提讯、远程辨认、远程会见、远程收案、远程会商、远程指挥等远程办案方式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电子文书网上推送与流转；支持远程电子笔录、远程权利义务告知书、远程电子示证、画中画实时录像、远程照片辨认、远程音视频对话、远程指挥等功能；支持指挥人员实时观看讯问视频和笔录，也支持同时查看多路视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4、支持对其他场所的办案室房间进行远程提讯，支持嫌疑人在权利义务告知书签字、捺印，权利 义务告知书、签字视频、笔录、审讯视频可一起刻录光盘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十六、安全预警管理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1、支持入出区场景、审/讯问/候问场景、值班监控场景、其他场景类型报警，报警也会推送给对应岗位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2、支持自定义配置功能区域如办案室、安全检查区域、吸毒检测区域、非法区域等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3、支持自定义添加场所和组织，按需配置人员容量及用途等参数配置，且支持新增、编辑、删除和查询等操作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4、支持软硬件设备的软件安装包添加或删除功能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5、管理员工具支持设置水印，内容包括姓名、警号、身份证号、操作电脑IP和水印倾斜角度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根据资源类型、操作类型、操作级别、操作时间、操作用户和描述存储用户的操作记录。其中操作级别包含一般、重要、极端重要等，操作类型包含查询、删除等，资源类型包含基本信息、操作类型、组织、通用设备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7、多级联动功能支持多级平台联动且不限制下级的数量，可将下级所有嫌疑人、民警、其他人员的信息、 组织信息和通用设备信息拉取到上级进行查看、修改 ；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8、支持通过Onvif、GB28181等协议接入设备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十七、合成作战管理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1、根据需求提出申请，审批通过，合成作战室收到请求后，可进行相应研判文件上传，办案民警办案时可在审讯界面查看文件列表，并进行在线预览和下载查看，为民警办案提供信息支撑。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2、支持列表显示入区嫌疑人信息，并支持嫌疑人姓名、入区时间进行条件查询。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3、支持请求远程作战，选择外部系统信息，提出申请。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4、支持审核人员列表展示申请流程，并支持条件检索。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5、支持上传相应的资料文件，支持办案现场下载及查看。</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017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56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7B67A64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8DB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20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应用服务器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BCC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1、企业级高性能平台服务器，8盘位，前置硬盘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2、应配2颗国产处理器，不低于8核16线程，主频≥3.0GHz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3、应配内存不低于64GB DDR4 3200MHz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4、应配国产操作系统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5、应配4个千兆以太网口（RJ45）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6、应配不低于1个VGA视频接口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7、应配不低于1块4T企业级硬盘作为系统盘使用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8、支持2.5寸或3.5寸SATA硬盘，支持热插拔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9、应配不低于4个PCIE 3.0插槽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10、应配不低于2个前置USB2.0接口，标配4个后置USB3.0接口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11、应配1+1冗余电源，AC100V～AC240V，50Hz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12、电源额定：550W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DA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73A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8DD39E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66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BDA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数据中心服务器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444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1、企业级高性能平台服务器，8盘位，前置硬盘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2、应配2颗国产处理器，不低于8核16线程，主频≥3.0GHz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3、应配内存不低于64GB DDR4 3200MHz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4、应配国产操作系统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5、应配4个千兆以太网口（RJ45）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6、应配不低于1个VGA视频接口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7、应配不低于1块4T企业级硬盘作为系统盘使用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8、支持2.5寸或3.5寸SATA硬盘，支持热插拔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9、应配不低于4个PCIE 3.0插槽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10、应配不低于2个前置USB2.0接口，标配4个后置USB3.0接口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11、应配1+1冗余电源，AC100V～AC240V，50Hz</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12、电源额定：550W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D09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3B8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9E3970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5FE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BBD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3D地图可视化软件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2E1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一、3D地图定制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1、3D地图建模根据办案区现场实际房间布局定制。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2、支持基于多图层叠加的电子地图，能够方便地在地图上定义各审讯室。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3、支持放大缩小地图。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4、支持实时显示人员在地图的位置，并随人员移动而同步移动。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5、地图上支持人员分类：男、女、嫌疑人、民警等。</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6、支持以时间轴的方式显示流程环节。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7、支持人员实时精确定位。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8、支持嫌疑人出区后展示轨迹路线。</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9、支持在视频预览、在线轨迹录像回放时实时显示视频中人员基础信息。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10、人员移动时，地图中的监控视频可以跟随显示。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11、支持人员轨迹视频按照时间轴的流程节点进行回放，并与轨迹图双向联动。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12、支持显示人的全程轨迹图，支持快进，快退，暂停，播放，静音，能显示播放进度条以及时间与总时间的对应，播放完自动跳到下一节点。</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13、支持通过地图上的摄像头，查看该区域对应的实时视频。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14、支持报警触发视频联动上墙。</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二、可视化收押登记驾驶舱</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收押登记驾驶舱支持展示预约未到达人数统计、在区人数统计、未成年人数统计、敏感案件人数统计、在区人数统计、中心饱和情况、重点人群统计、功能房管理、时限监督、告警信息、办案情况统计、入区/告警趋势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2、支持收押登记、安检存物、候问提讯驾驶舱切换。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3、安检存物驾驶舱支持场景可视化展示；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4、支持虚拟的物品柜点击柜子抽屉弹出，展示选中柜子的平面柜子展示图，支持通过柜子概览图进行柜子切换，支持点击柜门进行物品的调、还、退、代、扣、移、寄操作；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5、支持展示“告警数量”、“储物柜统计”、“物品数量统计”、“案卷检查统计”、“重点情况统计”、“重点情况统计”、“信息采集统计”、“采集项排名统计”、“人民币统计”、“随身物品统计”；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6、驾驶舱支持业务功能包含“物品登记”、“财物处理”、“安全检查”、“信息采集”、“财物记录”、“邮寄记录”、“信采记录”；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7、物品登记：支持对在区嫌疑人随身财物信息登记。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8、财物处理：支持对财物的调用、归还、退还、待领、扣押、移交、邮寄。</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9、安全检查：支持对在区嫌疑人安全信息检测登记。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10、信息采集：支持对在区嫌疑人信息采集信息登记。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11、财物记录：支持查看全部登记的物品信息查看。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12、邮寄记录：支持查看物品的邮寄记录信息。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13、信采记录：支持查看嫌疑人信息采集记录。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14、支持邮寄管理，展示已办理的邮寄申请信息，支持搜索、详情查看；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三、可视化候问驾驶舱</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1、候问提讯驾驶舱支持场景可视化展示；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2、支持饮食休息登记、看押登记、带出登记、饮食休息记录查看、候问记录查看；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3、支持收押登记、安检存物、候问提讯驾驶舱切换；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4、支持统计展示重点人群信息，按医疗重点和案件重点统计，支持查看详情；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5、支持统计展示看押人数，当前看押在候问室的总人数、刑事行政人数、男女人数；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6、支持统计展示看押未成年人数，当前看押在候问室的未成年人人数、刑事行政人数、男女人数；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7、支持统计展示候问室使用装态统计、容量统计、临时出区统计、告警统计；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8、支持统计展示候问室总数、空闲候问室数、使用率&lt;60%候问室数量、使用率≥60%候问室数量、满员候问室数量、故障候问室数量；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9、支持统计展示看押人员趋势，支持今日、近7天、近30天；</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10、支持选择搜索在押嫌疑人，支持人脸识别嫌疑人、支持刷新当前界面，搜索人员双击或者识别成功后，打卡此人所在候问室看押情况界面；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11、支持根据搜到到的嫌疑人打开候问室看押情况界面，支持候问人员展示、基本信息展示、更换候问室、修改信息；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12、支持饮食休息统计，统计在区和临时出区人员的饮食人次和休息人次；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13、支持带看押人数统计：总人数（在区未看押，包含临时出区）、刑事行政多少人、男女多少人；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14、支持裁决人数统计展示：总数（在区包含临时出区人数）、已裁决、未裁决人数，支持查看详情。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四、可视化审讯驾驶舱</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1、审讯驾驶舱支持场景可视化展示，清晰展示当前审讯室的现状，方便民警使用房间进行审讯等业务；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2、支持对本审讯室房间内配置的设备进行状态监测，包含：审讯主机、摄像头，设备多的情况支持分页展示；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3、支持查看登录民警的审讯记录信息；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4、支持查看的刻录记录信息、远程提讯记录；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5、支持显示当前房间的温度和湿度；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6、支持查询展示当前登录民警负责的在区涉案人员信息，支持涉案人员姓名查询，案件切换查询；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嫌疑人类型展示姓名、性别、姓名、审讯状态（已分配、审讯中、候问看押、临时出区）、证件号码、人员标记、审讯次数、裁决结果、案由、主办、协办，支持对涉案人员进行笔录制作和查看人员档案；证人、受害人只显示部分内容姓名、性别、审讯状态（已分配、审讯中）、证件号码、审讯次数、主办、协办；显示顺序为嫌疑人、受害人、证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8、支持笔录制作，笔录制作时支持审讯前审讯条件检测，并进行告警预警和提示预警；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9、支持发起远程提讯，联动打开远程提讯界面；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10、审讯中支持继续审讯功能和审讯时长展示；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11、本地办案和远程提讯时，支持在办案现场和一体桌PAD上查看微表情、心理状态和体征信息；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12、系统可手动录入案件及审讯基本信息。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13、开始办案后自动开始同步录音录像。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14、支持预设办案笔录模板功能。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15、支持蒙文笔录模板，笔录表头叠加蒙文。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16、支持维文笔录，可使用维文记录案件笔录。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17、支持嫌疑人信息自动关联并更新到笔录表头，无须手动录入。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18、支持电子签名及指纹捺印。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19、支持常用问答模板辅助民警讯问问答。</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20、支持告知书副屏展示，支持全文朗读、支持打印告知书。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21、支持法律法规的关键字检索、查看功能，为办案提供法律依据，方便民警查询。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22、支持对关键笔录重点标记。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23、支持协同办案，同案件的多个审讯室可互相查看对方的笔录和视频信息。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24、支持判断审讯录像是否正常，开始审讯、再问，或者办案区过程中，审讯设备状态异常时，提示民警录像异常，请更换房间讯询问。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25、支持在审讯时查看即时指挥的会话状态。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26、支持在审讯时打开即时指挥的会话界面。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27、支持笔录校对及校对时朗读本地笔录；笔录校对时可支持放大、缩小。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28、支持查看同一案件的历史笔录，支持列表显示及条件检索。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29、支持列表显示审讯记录，并支持条件检索。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30、支持对审讯记录进行查看详情、修改、删除、点播、下载、查看笔录、权限分配、再次审讯等操作。</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31、支持继续审讯，系统异常退出后，只要没有结束审讯，可以继续审讯。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32、支持刻录光盘时，提示民警输入光盘密码，确认后再刻录光盘。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33、支持查看刻录进度，并支持条件检索。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34、支持证据管理，包括证据资料的查询、预览、下载、上传、刷新、删除。</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35、支持证据资料副屏展示。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36、支持笔录导出导入功能。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37、办案时长展示及定时提醒。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38、支持快捷键协助办案。</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39、笔录页脚支持显示总页数，当前页码。</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40、询/讯问室状态管理，超时办案提醒。</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41、支持自定义设置LED门牌设备的播放方式、播放速度和停留时间。</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42、在本地审讯开启办案页面，切换嫌疑人时，主协办民警自动回填已分配的主、协办民警；未分配主协办民警时，回填入区时的主协办民警。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43、“开始办案“时，校验主、协办民警是否在办案中，如果是，弹框提示用户：民警XXX正在XX房间办案。</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B4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D80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13A50A6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AF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F3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数据对接服务</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09F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需与河南省执法办案管理中心信息系统台账对接及开发服务。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8F5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A6F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511421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B08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B45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法制视频联网网关一体机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C1E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用于与其他第三方平台实现数据接入和业务功能整合；支持公安部颁布的GB/T 28181-2011国家标准协议即《安全防范视频监控联网系统信息传输、交换、控制技术要求》、支持基于SIP标准规范的其他协议。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1、支持国标GB/T 28181视频监控接口协议和基于SIP标准规范的其他协议。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2、支持同时向多个上级平台注册，支持同时对接多个下级平台，视频通道数量管理能力不低于5万路。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3、可接入符合国标GB/T 28181协议的IPC、NVR/DVR、解码器等主流品牌设备。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4、支持负载均衡，保证部署多台网关转发视频的可靠性。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5、支持穿越网闸或视频安全接入平台，实现外网视频资源对接到内网。</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6、支持安全认证及权限管理，保证调用监控资源的合规性。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7、支持设备注册注销、心跳保活、目录查询、实时预览、云台控制、录像文件的检索回放下载、手动录像、报警管理、布撤防、设备信息查询、设备状态查询、设备远程启动、设备校时等国标联网功能。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8、支持目录主动推送、资源实时同步、冗余资源处理、资源选择性共享等扩展联网功能。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9、可实现设备信息及状态查询、实时点播、云台控制、视音频文件检索及下载、回放及回放控制、布撤防、设备远程启动等功能。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10、可查看网关的工作状态，可对接入的设备资源进行统计。</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11、支持PS、RTP+PS封装格式和H.264编码格式输出。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34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2A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564F178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BDE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DB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证据服务器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829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1、具有不少于24个SATA硬盘接口，硬盘容量应支持IT、 2T、3T、 4T、6T、8T、10T</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2、视频接入带宽不小于1536M ，转发带宽不小于512M ，应支持接入视频编码格式：MJPEG、H.264(Main Profile，High Profile，Baseline Profile)、H.265；最大支持分辨率4096×2160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3、应支持接入符合Onvif，GB/T 28181的摄像机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4、应支持流媒体协议直接存储功能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5、应支持视频、图片直存模式的配置和管理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6、应支持RAID功能，包括RAID0、RAID1、RAID3、RAID5、RAID6、RAID10、RAID50、RAID60模式，并支持RAID即建即用模式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7、配置不低于64位多核处理器；不低于8G内存 ；具有不少于4个RJ-45网络接口 、2个前置USB2.0；2个后置USB3.0接口；1个串口 ，1个VGA接口 、2个HDMI接口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8、应支持在录像文件目录损坏时重建索引，恢复录像查询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9、应支持自动识别磁盘的剩余空间容量，根据用户的数据存储需求，可划分多个容量不同的分区，并支持在线空间扩展，不影响业务连续性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10、应支持远程实现每一块硬盘单独断电操作；应支持启动时磁盘按顺序上电，实现交错启动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11、应支持双电源冗余供电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B5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847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3230F7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579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82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8T企业级硬盘</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D44E">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1、8T企业级硬盘；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2、支持温度传感器；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3、256MB缓存；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4、转速：7200rpm；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6、接口访问速度：6.0、 3.0、 1.5 Gb/秒；</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C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ED8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18D1C142">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DA1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81A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24盘位网络存储服务器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DD4D">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1、具有不少于24个SATA硬盘接口，硬盘容量应支持IT、 2T、3T、 4T、6T、8T、10T</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2、视频接入带宽不小于800M ，转发带宽不小于400M ，应支持接入视频编码格式：MJPEG、H.264(Main Profile，High Profile，Baseline Profile)、H.265；最大支持分辨率4096×2160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3、应支持接入符合Onvif，GB/T 28181的摄像机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4、应支持流媒体协议直接存储功能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5、应支持视频、图片直存模式的配置和管理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6、应支持RAID功能，包括RAID0、RAID1、RAID3、RAID5、RAID6、RAID10、RAID50、RAID60模式，并支持RAID即建即用模式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7、配置不低于64位多核处理器；不低于8G内存 ；具有不少于4个RJ-45网络接口 、2个前置USB2.0；2个后置USB3.0接口；1个串口 ，1个VGA接口 、2个HDMI接口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8、应支持在录像文件目录损坏时重建索引，恢复录像查询</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9、应支持自动识别磁盘的剩余空间容量，根据用户的数据存储需求，可划分多个容量不同的分区，并支持在线空间扩展，不影响业务连续性</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10、应支持远程实现每一块硬盘单独断电操作；应支持启动时磁盘按顺序上电，实现交错启动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D02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17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630885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8D7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B2A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8T企业级硬盘</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A18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1、8T企业级硬盘；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2、支持温度传感器；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3、256MB缓存；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4、转速：7200rpm；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6、接口访问速度：6.0、 3.0、 1.5 Gb/秒；</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711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E19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7FABDB2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34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5A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网络硬盘录像机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C845">
            <w:pPr>
              <w:widowControl/>
              <w:snapToGrid w:val="0"/>
              <w:spacing w:line="240" w:lineRule="auto"/>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1、支持不少于16个SATA硬盘接口，应支持接入1TB、2TB、3TB、4TB、6TB、8TB、10TB容量的SATA接口硬盘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2、可接入不少于160路4K（3840×2160）、5MP、1080P的视频信号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3、接入带宽≥400M，转发带宽≥200M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4、支持解码不少于2路分辨率为4000×3072的视频图像或4路分辨率为3840×2160的视频图像或16路分辨率为1920×1080的视频图像或32路分辨率为1280×720格式的视频图像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5、可同时正放不少于16路1080P或16路720P的视频图像</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6、应支持Onvif、GB/T28181，可通过Onvif协议接入H.265编码格式的前端设备</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7、应具有不少于2个RS-485管理接口,1个RS-232调试接口，2个RJ-45 10M/100M/1000M自适应以太网接口，2个前置USB2.0接口，1个后置USB3.0接口，2个HDMI接口，2个VGA接口 ，1个ESATA接口，16路报警输入接口，4路报警输出接口，1对JACK音频输入输出接口，1个BNC音频输出接口，1个复位按钮，1个接地端子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E4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C4A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906DA8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3B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B8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8T监控级硬盘</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411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1、空气填充；</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2、接口：SATA 6Gb/s；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3、转速5400rpm；</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4、256MB缓存；</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5、最大持续传输速率180MB/s；</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6、开机小时数8760；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7、平均故障间隔时间1,000,000小时；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8E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98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539D948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D31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502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督察联网设备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2BB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1、可接驳符合ONVIF、PSIA、RTSP标准及众多主流厂商的网络摄像机;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2、支持国标28181协议;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3、支持4K高清网络视频的预览、存储与回放;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4、支持H.265、H.264编码前端自适应接入;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5、支持2个HDMI和2个VGA同时输出，支持4K高清分辨率输出;</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6、支持越界、进入区域、离开区域、区域入侵、徘徊、人员聚焦、快速移动、物品遗留、物品拿取等多种智能侦测接入与联动;</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7、支持即时回放功能，在预览画面下对指定通道的当前录像进行回放;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8、支持16路1080p同步回放及多路同步倒放;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9、支持标签定义、查询、回放录像文件;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10、支持硬盘配额和硬盘盘组两种存储模式，可对不同通道分配不同的录像保存容量或周期;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11、支持不低于8个SATA接口，可用于录像和备份;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12、支持RAID0、RAID1、RAID5、RAID6和RAID10;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13、双千兆网卡，支持双网络IP设定等应用;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696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7F1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26060F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229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BC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校时主机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958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主流卫星</w:t>
            </w:r>
            <w:r>
              <w:rPr>
                <w:rFonts w:hint="eastAsia" w:ascii="宋体" w:hAnsi="宋体" w:eastAsia="宋体" w:cs="宋体"/>
                <w:color w:val="auto"/>
                <w:kern w:val="0"/>
                <w:sz w:val="21"/>
                <w:szCs w:val="21"/>
                <w:highlight w:val="none"/>
              </w:rPr>
              <w:t>定时信号建立</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2、提供6路NTP网络授时接口</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、支持windows、linux、unix、sun solaris、ibm aix等操作系统时间同步</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、支持NTP v1.v2.v3&amp;v4(RFC1119&amp;1305),SNTP(RFC2030)等协议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0B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A5A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6195B7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D05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057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接入交换机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13B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千兆web管理POE交换机,包转发率39Mpps,交换容量不少于336Gbps, 不少于24个千兆电口, 不少于2个千兆光口,VLAN:4K,MAC:8K,1U标准机架款,金属外壳,支持POE+,输出功率370W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CA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87D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27D536D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C4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17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汇聚交换机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558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万兆三层管理交换机,包转发率不少于148Mpps/222Mpps,交换容量不少于598Gbps/5.98Tbps, 不少于24个千兆电口, 不少于4个万兆光口,VLAN:4K,MAC:16K</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1CB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49D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7E65ABC0">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B36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6B6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核心交换机</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87C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万兆三层全管理增强型交换机,包转发率不少于171Mpps/256Mpps,交换容量不少于672Gbps/6.72Tbps, 不少于24个千兆电口，不少于4个万兆光口, 不少于2个专用堆叠口，VLAN:4K,MAC:32K ,支持 1+1 电源备份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993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D53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4C773C3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6D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875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光模块</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0D4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千兆光模块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0D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D84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个</w:t>
            </w:r>
          </w:p>
        </w:tc>
      </w:tr>
      <w:tr w14:paraId="7DAB898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F3E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16C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142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42U服务器机柜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1A9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F07E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341059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162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D99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壁挂机柜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93C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600*600*800（宽*深*高)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BF4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EDC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AFD679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04D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FA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辅助材料</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965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电源线、网线、音频线、排插、配件、桥架、管材、其他小型机柜等及设备安装所需其它辅材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C63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6ED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批</w:t>
            </w:r>
          </w:p>
        </w:tc>
      </w:tr>
      <w:tr w14:paraId="57A6BE3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17F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8F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5E3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AC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1FA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44E0037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64FE">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0C2B">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（二十）机房配套系统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B874">
            <w:pPr>
              <w:snapToGrid w:val="0"/>
              <w:spacing w:line="240" w:lineRule="auto"/>
              <w:jc w:val="left"/>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2569">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819B">
            <w:pPr>
              <w:snapToGrid w:val="0"/>
              <w:spacing w:line="240" w:lineRule="auto"/>
              <w:jc w:val="center"/>
              <w:rPr>
                <w:rFonts w:hint="eastAsia" w:ascii="宋体" w:hAnsi="宋体" w:eastAsia="宋体" w:cs="宋体"/>
                <w:color w:val="auto"/>
                <w:sz w:val="21"/>
                <w:szCs w:val="21"/>
                <w:highlight w:val="none"/>
              </w:rPr>
            </w:pPr>
          </w:p>
        </w:tc>
      </w:tr>
      <w:tr w14:paraId="30A9183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D169">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248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20.1、UPS不间断电源系统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D4FD">
            <w:pPr>
              <w:snapToGrid w:val="0"/>
              <w:spacing w:line="240" w:lineRule="auto"/>
              <w:jc w:val="left"/>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9A54">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E202">
            <w:pPr>
              <w:snapToGrid w:val="0"/>
              <w:spacing w:line="240" w:lineRule="auto"/>
              <w:jc w:val="center"/>
              <w:rPr>
                <w:rFonts w:hint="eastAsia" w:ascii="宋体" w:hAnsi="宋体" w:eastAsia="宋体" w:cs="宋体"/>
                <w:color w:val="auto"/>
                <w:sz w:val="21"/>
                <w:szCs w:val="21"/>
                <w:highlight w:val="none"/>
              </w:rPr>
            </w:pPr>
          </w:p>
        </w:tc>
      </w:tr>
      <w:tr w14:paraId="2F97538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61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AF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UPS电源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52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1)UPS容量为30kVA机架式电源。</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2)UPS主机采用先进的双核DSP数字化控制技术，整流和逆变采用双DSP控制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3)UPS主机支持两路不同的市电接入，提高系统的可靠性，提供系统原理图和端子接线图</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4)UPS并机系统可以共用电池组，节省投入及占地面积</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5)UPS主机应有电池自检功能，可通过设置按时间/电压启动自检以及自检周期</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6)UPS主机应具有自老化功能，测试现场不需要外接负载就可以带载测试；</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UPS主机应采用≧5寸触摸彩屏，可以显示详细的信息，输入电压/电流、输入频率、旁路电压、旁路频率、输出电压、输出电流、输出频率、有功功率、视在功率、负载率、电池电压、电池电流、电池剩余放电时间、电池剩余容量，电池备电时间，电池过保时间，主机过保时间等参数</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7)UPS主机具有输出短路保护、输出过载保护、过温保护、电池低压保护、输出过欠压保护和风扇故障保护功能，同时具备电池在线监测功能，电池断开或未连接时，UPS应及时提出告警；</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8)UPS主机应具有EPO紧急关机和电池冷启动功能；</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9)UPS主机电池节数可以在32-40节之间设置；</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10)主机风扇具有智能调速功能；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8B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09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62103DDE">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48F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F6CE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蓄电池</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4B1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1.阀控式密封铅酸蓄电池，单节蓄电池标称电压12V，单节蓄电池容量≥100Ah；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2.蓄电池设计寿命≥10年（25℃）；;</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3.蓄电池在充电过程中遇有明火，内部不应引爆；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4.电池应能承受50kPa的正压或负压而不破裂，压力释放后壳体无残余变形；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5B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124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3EABB55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CE5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17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电池柜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E5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定制，可安装12V100AH 32只。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6D0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7F9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47DBDFD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3C8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BD8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电池柜开关</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744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包含直流空开及汇流箱，电池连接线及至主机线缆。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F7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66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35BF3C7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4657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876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列头柜</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0700">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列头柜：交流输入总开关3P250A1个，含UPS输入总开关3P100A1个，输出总开关3P100A1个，维修旁路3P100A1个，及输出分路开关2P16A 12个，市电总空开3P100A1个，市电分路开关3P63A 2个，市电分路开关3P32A2个，市电分路开关1P16A6个，含防雷，数显，互感器，指示灯。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4DE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DE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720BB6D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B2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5A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精密控温设备</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A4C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1)精密空调的送/回风类型：上送风下回风</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2)总冷量≥30.9kW,显冷量≥27.9kW（回风工况：24℃，相对湿度50%）</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3)风量≥9000m3/h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4)加湿量≥6kg/h</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5)加热量≥9KW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6)精密空调应能应解决机房的高显热量负荷，在24℃、45%RH的工况下显热比≥0.90，全年能效比≥5.0。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7)精密空调应采用高效变频涡旋压缩机，室内机风机采用EC风机。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8)精密空调应标配双电子膨胀阀（EEV）。                         9)应具有远程监控能力，机组标配RS485通信接口，支持ModBus协议。可选配以太网接口，支持TCP/IP、SNMP协议，能接入上级动力环境监控系统中。</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A87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205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16C5F10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AAD1">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BECD">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20.2、机房消防系统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E282">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1B46D">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7A40">
            <w:pPr>
              <w:snapToGrid w:val="0"/>
              <w:spacing w:line="240" w:lineRule="auto"/>
              <w:jc w:val="center"/>
              <w:rPr>
                <w:rFonts w:hint="eastAsia" w:ascii="宋体" w:hAnsi="宋体" w:eastAsia="宋体" w:cs="宋体"/>
                <w:color w:val="auto"/>
                <w:sz w:val="21"/>
                <w:szCs w:val="21"/>
                <w:highlight w:val="none"/>
              </w:rPr>
            </w:pPr>
          </w:p>
        </w:tc>
      </w:tr>
      <w:tr w14:paraId="00156E6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9A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9D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点型光电感烟火灾探测器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EC6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点型光电感烟火灾探测器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D14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43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4BA5C83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429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D83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点型感温火灾探测器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758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点型感温火灾探测器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F9D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F97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02B4E45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A4A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BCB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放气指示灯</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F59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放气指示灯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C17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BC9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673C7F5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21C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09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529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声光报警器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71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A93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6B95C4F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0E5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EF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紧急启停按钮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FC5B">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紧急启停按钮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BA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39E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E0D46A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11C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DE5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气体灭火报警控制器</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462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气体灭火报警控制器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F7F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435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383D3A2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2D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BB7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柜式七氟丙烷灭火装置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07CA">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柜式七氟丙烷灭火装置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92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07B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台</w:t>
            </w:r>
          </w:p>
        </w:tc>
      </w:tr>
      <w:tr w14:paraId="07B6031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32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32D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灭火药剂</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30C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灭火药剂</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D12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D59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公斤</w:t>
            </w:r>
          </w:p>
        </w:tc>
      </w:tr>
      <w:tr w14:paraId="0257C14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974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60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机械泄压阀</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43BE">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机械泄压阀,含百叶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B0F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CC7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只</w:t>
            </w:r>
          </w:p>
        </w:tc>
      </w:tr>
      <w:tr w14:paraId="2AE1441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9974">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9071">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20.3、吊顶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C3A9">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BC32">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44A5">
            <w:pPr>
              <w:snapToGrid w:val="0"/>
              <w:spacing w:line="240" w:lineRule="auto"/>
              <w:jc w:val="center"/>
              <w:rPr>
                <w:rFonts w:hint="eastAsia" w:ascii="宋体" w:hAnsi="宋体" w:eastAsia="宋体" w:cs="宋体"/>
                <w:color w:val="auto"/>
                <w:sz w:val="21"/>
                <w:szCs w:val="21"/>
                <w:highlight w:val="none"/>
              </w:rPr>
            </w:pPr>
          </w:p>
        </w:tc>
      </w:tr>
      <w:tr w14:paraId="0D5E7381">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9B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E2F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机房顶部防尘处理</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A59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灰色环保净味乳胶漆喷涂2遍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20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3DA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652F7F4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7C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BC1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微孔铝制天花吊顶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66DF">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600*600*0.8mm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417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8C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0157A49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066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3B8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微孔铝制天花龙骨、吊丝</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8D2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38型1.0mm,含收边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40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8CF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67C09088">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97D">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F8F7">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20.4、墙面</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4FF3">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60E0">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6E27">
            <w:pPr>
              <w:snapToGrid w:val="0"/>
              <w:spacing w:line="240" w:lineRule="auto"/>
              <w:jc w:val="center"/>
              <w:rPr>
                <w:rFonts w:hint="eastAsia" w:ascii="宋体" w:hAnsi="宋体" w:eastAsia="宋体" w:cs="宋体"/>
                <w:color w:val="auto"/>
                <w:sz w:val="21"/>
                <w:szCs w:val="21"/>
                <w:highlight w:val="none"/>
              </w:rPr>
            </w:pPr>
          </w:p>
        </w:tc>
      </w:tr>
      <w:tr w14:paraId="110118C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3A5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94E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窗户封堵</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750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轻钢龙骨框架+12mm厚石膏板封窗，窗户四周打密封胶，窗户上贴膜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2C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5D5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3B4DE1F5">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BE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7A1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彩钢板基础框架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634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75型轻钢龙骨0.6mm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CFF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52A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64101A9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75C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363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框架内填充保温隔音岩棉</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B7C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50mm岩棉 容重60kg/m³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6EB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50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5518254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900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993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彩钢板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CB3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12mm石膏板＋0.6mm彩钢板，3000mm高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570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708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57464B1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16C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879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彩钢板配件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8AD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彩钢板阴角、阳角、卡条、扣件等辅材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AC8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157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1810DA37">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FF1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34E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地板下石膏板封堵</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CAA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12mm石膏板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615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8C9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287964B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F7B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5B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不锈钢踢脚线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13B8">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8cm高拉丝不锈钢踢脚线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111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FCB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p>
        </w:tc>
      </w:tr>
      <w:tr w14:paraId="12676EB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9B2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40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616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膨胀丝、钢钉、橡塑棉专用胶、自攻丝、燕尾丝、滚筒、毛刷、结构胶等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EA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DD0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4D1B4F6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FF91">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99B5">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20.5、地面</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94D8">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3885">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7525">
            <w:pPr>
              <w:snapToGrid w:val="0"/>
              <w:spacing w:line="240" w:lineRule="auto"/>
              <w:jc w:val="center"/>
              <w:rPr>
                <w:rFonts w:hint="eastAsia" w:ascii="宋体" w:hAnsi="宋体" w:eastAsia="宋体" w:cs="宋体"/>
                <w:color w:val="auto"/>
                <w:sz w:val="21"/>
                <w:szCs w:val="21"/>
                <w:highlight w:val="none"/>
              </w:rPr>
            </w:pPr>
          </w:p>
        </w:tc>
      </w:tr>
      <w:tr w14:paraId="56BD98B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973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AE4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机房地面防尘处理</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C287">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灰色环保净味乳胶漆喷涂2遍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EFB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54F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2CEE810B">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B3C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352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地板下粘贴橡塑保温棉</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F84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20mm橡塑保温棉+铝箔</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21D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F18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621CC1C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16A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6484">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陶瓷抗静电地板</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76C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600*600*32mm，含横梁、支架等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F8B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03B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14:paraId="17375CF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86B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670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踏步</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229D">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镀锌角钢+不锈钢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CC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F26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031AF0D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D60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6F67">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散力架</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13F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机柜、空调、配电柜、UPS、电池柜等承重支架，50型镀锌角铁5.0mm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6B2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399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0971DC6">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B6D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A94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不锈钢接水槽</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C386">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不锈钢0.8mm水槽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410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624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套</w:t>
            </w:r>
          </w:p>
        </w:tc>
      </w:tr>
      <w:tr w14:paraId="5CD5DA53">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FA83">
            <w:pPr>
              <w:snapToGrid w:val="0"/>
              <w:spacing w:line="240" w:lineRule="auto"/>
              <w:jc w:val="center"/>
              <w:rPr>
                <w:rFonts w:hint="eastAsia" w:ascii="宋体" w:hAnsi="宋体" w:eastAsia="宋体" w:cs="宋体"/>
                <w:color w:val="auto"/>
                <w:sz w:val="21"/>
                <w:szCs w:val="21"/>
                <w:highlight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4D6E">
            <w:pPr>
              <w:widowControl/>
              <w:snapToGrid w:val="0"/>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20.6、防静电及防雷基地系统</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CD8C">
            <w:pPr>
              <w:snapToGrid w:val="0"/>
              <w:spacing w:line="240" w:lineRule="auto"/>
              <w:jc w:val="center"/>
              <w:rPr>
                <w:rFonts w:hint="eastAsia" w:ascii="宋体" w:hAnsi="宋体" w:eastAsia="宋体" w:cs="宋体"/>
                <w:color w:val="auto"/>
                <w:sz w:val="21"/>
                <w:szCs w:val="21"/>
                <w:highlight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4B47">
            <w:pPr>
              <w:snapToGrid w:val="0"/>
              <w:spacing w:line="240" w:lineRule="auto"/>
              <w:jc w:val="center"/>
              <w:rPr>
                <w:rFonts w:hint="eastAsia" w:ascii="宋体" w:hAnsi="宋体" w:eastAsia="宋体" w:cs="宋体"/>
                <w:color w:val="auto"/>
                <w:sz w:val="21"/>
                <w:szCs w:val="21"/>
                <w:highlight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C95A">
            <w:pPr>
              <w:snapToGrid w:val="0"/>
              <w:spacing w:line="240" w:lineRule="auto"/>
              <w:jc w:val="center"/>
              <w:rPr>
                <w:rFonts w:hint="eastAsia" w:ascii="宋体" w:hAnsi="宋体" w:eastAsia="宋体" w:cs="宋体"/>
                <w:color w:val="auto"/>
                <w:sz w:val="21"/>
                <w:szCs w:val="21"/>
                <w:highlight w:val="none"/>
              </w:rPr>
            </w:pPr>
          </w:p>
        </w:tc>
      </w:tr>
      <w:tr w14:paraId="099C966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4A4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C3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接地用铜带</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1F6C">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铜带30mm*3mm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F98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6A3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r>
      <w:tr w14:paraId="5F4E39D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001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675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接地用铜皮</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2452">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40mm*0.1mmmm，按照600*600mm方格铺设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331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773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米</w:t>
            </w:r>
          </w:p>
        </w:tc>
      </w:tr>
      <w:tr w14:paraId="6FDDFD19">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42C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AF9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接地模块</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78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低电阻接地模块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432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8902">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块</w:t>
            </w:r>
          </w:p>
        </w:tc>
      </w:tr>
      <w:tr w14:paraId="6A5A507D">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CDFF">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70A9">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垂直接地体</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3C83">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φ16mm，L=1000m，铜包钢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8DD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C36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1A721D24">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16D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C4CD">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降阻剂</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2D49">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接地降阻产品</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973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159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袋</w:t>
            </w:r>
          </w:p>
        </w:tc>
      </w:tr>
      <w:tr w14:paraId="692FD62C">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D24C">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FC1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汇流排</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684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等电位汇流排</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788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079E">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根</w:t>
            </w:r>
          </w:p>
        </w:tc>
      </w:tr>
      <w:tr w14:paraId="250306BA">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C1B8">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643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接地扁钢</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B741">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40mm接地扁钢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79D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35</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98FA">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p>
        </w:tc>
      </w:tr>
      <w:tr w14:paraId="2A503EB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2281">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DF0B">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辅材</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9625">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电源线、光纤、跳纤、尾纤、水晶头、PVC管、PE管、钢管、光端盒、金属管、软管、胶带、空开、插板、接地铜缆、连接线、接地线、金属管、铜鼻等系统安装所需辅材</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F0E3">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6900">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r w14:paraId="4869EC1F">
        <w:tblPrEx>
          <w:tblCellMar>
            <w:top w:w="32" w:type="dxa"/>
            <w:left w:w="64" w:type="dxa"/>
            <w:bottom w:w="32" w:type="dxa"/>
            <w:right w:w="64" w:type="dxa"/>
          </w:tblCellMar>
        </w:tblPrEx>
        <w:trPr>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3B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9</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E1C5">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信息技术服务费</w:t>
            </w:r>
          </w:p>
        </w:tc>
        <w:tc>
          <w:tcPr>
            <w:tcW w:w="66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EC64">
            <w:pPr>
              <w:widowControl/>
              <w:snapToGrid w:val="0"/>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技术信息服务费，包含线路切沟、铺设，设备采购、运输、安装、调试等费用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42F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6D26">
            <w:pPr>
              <w:widowControl/>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w:t>
            </w:r>
          </w:p>
        </w:tc>
      </w:tr>
    </w:tbl>
    <w:p w14:paraId="316F3F01">
      <w:pPr>
        <w:rPr>
          <w:rFonts w:ascii="宋体" w:hAnsi="宋体" w:cs="宋体"/>
          <w:highlight w:val="none"/>
        </w:rPr>
      </w:pPr>
    </w:p>
    <w:p w14:paraId="7B975793">
      <w:pPr>
        <w:rPr>
          <w:rFonts w:ascii="宋体" w:hAnsi="宋体" w:cs="宋体"/>
          <w:highlight w:val="none"/>
        </w:rPr>
      </w:pPr>
    </w:p>
    <w:p w14:paraId="6956D959">
      <w:pPr>
        <w:rPr>
          <w:rFonts w:ascii="宋体" w:hAnsi="宋体" w:cs="宋体"/>
          <w:highlight w:val="none"/>
        </w:rPr>
      </w:pPr>
    </w:p>
    <w:p w14:paraId="040D99E0">
      <w:pPr>
        <w:widowControl/>
        <w:tabs>
          <w:tab w:val="left" w:pos="6126"/>
        </w:tabs>
        <w:kinsoku w:val="0"/>
        <w:autoSpaceDE w:val="0"/>
        <w:autoSpaceDN w:val="0"/>
        <w:adjustRightInd w:val="0"/>
        <w:snapToGrid w:val="0"/>
        <w:spacing w:line="314" w:lineRule="exact"/>
        <w:textAlignment w:val="baseline"/>
        <w:outlineLvl w:val="1"/>
        <w:rPr>
          <w:rFonts w:ascii="宋体" w:hAnsi="宋体" w:cs="宋体"/>
          <w:b/>
          <w:bCs/>
          <w:snapToGrid w:val="0"/>
          <w:kern w:val="0"/>
          <w:sz w:val="24"/>
          <w:highlight w:val="none"/>
          <w:lang w:val="zh-CN" w:eastAsia="en-US"/>
        </w:rPr>
      </w:pPr>
      <w:r>
        <w:rPr>
          <w:rFonts w:hint="eastAsia" w:ascii="宋体" w:hAnsi="宋体" w:cs="宋体"/>
          <w:b/>
          <w:bCs/>
          <w:kern w:val="0"/>
          <w:sz w:val="24"/>
          <w:highlight w:val="none"/>
        </w:rPr>
        <w:t>●标记的为核心产品</w:t>
      </w:r>
    </w:p>
    <w:p w14:paraId="0BD2F2C1">
      <w:pPr>
        <w:widowControl/>
        <w:tabs>
          <w:tab w:val="left" w:pos="6126"/>
        </w:tabs>
        <w:kinsoku w:val="0"/>
        <w:autoSpaceDE w:val="0"/>
        <w:autoSpaceDN w:val="0"/>
        <w:adjustRightInd w:val="0"/>
        <w:snapToGrid w:val="0"/>
        <w:spacing w:line="314" w:lineRule="exact"/>
        <w:textAlignment w:val="baseline"/>
        <w:outlineLvl w:val="1"/>
        <w:rPr>
          <w:rFonts w:ascii="宋体" w:hAnsi="宋体" w:cs="宋体"/>
          <w:snapToGrid w:val="0"/>
          <w:kern w:val="0"/>
          <w:sz w:val="24"/>
          <w:highlight w:val="none"/>
        </w:rPr>
      </w:pPr>
      <w:r>
        <w:rPr>
          <w:rFonts w:hint="eastAsia" w:ascii="宋体" w:hAnsi="宋体" w:cs="宋体"/>
          <w:b/>
          <w:bCs/>
          <w:snapToGrid w:val="0"/>
          <w:kern w:val="0"/>
          <w:sz w:val="24"/>
          <w:highlight w:val="none"/>
          <w:lang w:val="zh-CN"/>
        </w:rPr>
        <w:t>说明：对以上产品的要求为满足招标人所需产品的要求 ，非唯一指定要求，如有</w:t>
      </w:r>
      <w:r>
        <w:rPr>
          <w:rFonts w:hint="eastAsia" w:ascii="宋体" w:hAnsi="宋体" w:cs="宋体"/>
          <w:b/>
          <w:bCs/>
          <w:snapToGrid w:val="0"/>
          <w:kern w:val="0"/>
          <w:sz w:val="24"/>
          <w:highlight w:val="none"/>
        </w:rPr>
        <w:t>某品牌或</w:t>
      </w:r>
      <w:r>
        <w:rPr>
          <w:rFonts w:hint="eastAsia" w:ascii="宋体" w:hAnsi="宋体" w:cs="宋体"/>
          <w:b/>
          <w:bCs/>
          <w:snapToGrid w:val="0"/>
          <w:kern w:val="0"/>
          <w:sz w:val="24"/>
          <w:highlight w:val="none"/>
          <w:lang w:val="zh-CN"/>
        </w:rPr>
        <w:t>某产品的指标或参数描述相同 ，并非特指，仅为产品质量、档次、水平的参照，未注明的规格应符合国家有关行业标准。</w:t>
      </w:r>
    </w:p>
    <w:p w14:paraId="1E51154D">
      <w:pPr>
        <w:widowControl/>
        <w:kinsoku w:val="0"/>
        <w:autoSpaceDE w:val="0"/>
        <w:autoSpaceDN w:val="0"/>
        <w:adjustRightInd w:val="0"/>
        <w:snapToGrid w:val="0"/>
        <w:spacing w:line="314" w:lineRule="exact"/>
        <w:jc w:val="left"/>
        <w:textAlignment w:val="baseline"/>
        <w:rPr>
          <w:rFonts w:ascii="宋体" w:hAnsi="宋体" w:cs="宋体"/>
          <w:b/>
          <w:bCs/>
          <w:snapToGrid w:val="0"/>
          <w:kern w:val="0"/>
          <w:sz w:val="24"/>
          <w:highlight w:val="none"/>
        </w:rPr>
      </w:pPr>
    </w:p>
    <w:p w14:paraId="71B691AE">
      <w:pPr>
        <w:widowControl/>
        <w:kinsoku w:val="0"/>
        <w:autoSpaceDE w:val="0"/>
        <w:autoSpaceDN w:val="0"/>
        <w:adjustRightInd w:val="0"/>
        <w:snapToGrid w:val="0"/>
        <w:spacing w:line="314" w:lineRule="exact"/>
        <w:jc w:val="left"/>
        <w:textAlignment w:val="baseline"/>
        <w:rPr>
          <w:rFonts w:ascii="宋体" w:hAnsi="宋体" w:cs="宋体"/>
          <w:snapToGrid w:val="0"/>
          <w:kern w:val="0"/>
          <w:sz w:val="24"/>
          <w:highlight w:val="none"/>
        </w:rPr>
      </w:pPr>
      <w:r>
        <w:rPr>
          <w:rFonts w:hint="eastAsia" w:ascii="宋体" w:hAnsi="宋体" w:cs="宋体"/>
          <w:b/>
          <w:bCs/>
          <w:snapToGrid w:val="0"/>
          <w:kern w:val="0"/>
          <w:sz w:val="24"/>
          <w:highlight w:val="none"/>
        </w:rPr>
        <w:t>供应商必须对以下内容做出承诺，未做出承诺的按废标处理：</w:t>
      </w:r>
    </w:p>
    <w:p w14:paraId="27D0188C">
      <w:pPr>
        <w:widowControl/>
        <w:kinsoku w:val="0"/>
        <w:autoSpaceDE w:val="0"/>
        <w:autoSpaceDN w:val="0"/>
        <w:adjustRightInd w:val="0"/>
        <w:snapToGrid w:val="0"/>
        <w:spacing w:line="314" w:lineRule="exact"/>
        <w:ind w:firstLine="480" w:firstLineChars="200"/>
        <w:jc w:val="left"/>
        <w:textAlignment w:val="baseline"/>
        <w:rPr>
          <w:rFonts w:hint="eastAsia" w:ascii="宋体" w:hAnsi="宋体" w:eastAsia="宋体" w:cs="宋体"/>
          <w:snapToGrid w:val="0"/>
          <w:kern w:val="0"/>
          <w:sz w:val="24"/>
          <w:highlight w:val="none"/>
          <w:lang w:eastAsia="zh-CN"/>
        </w:rPr>
      </w:pPr>
      <w:r>
        <w:rPr>
          <w:rFonts w:hint="eastAsia" w:ascii="宋体" w:hAnsi="宋体" w:cs="宋体"/>
          <w:snapToGrid w:val="0"/>
          <w:kern w:val="0"/>
          <w:sz w:val="24"/>
          <w:highlight w:val="none"/>
        </w:rPr>
        <w:t>1.技术培训服务:设备安装调试完成后，提供不少于2次现场培训，培训内容包括设备操作、系统维护、常见故障排除等，确保使用人员熟练掌握设备使用方法</w:t>
      </w:r>
      <w:r>
        <w:rPr>
          <w:rFonts w:hint="eastAsia" w:ascii="宋体" w:hAnsi="宋体" w:cs="宋体"/>
          <w:snapToGrid w:val="0"/>
          <w:kern w:val="0"/>
          <w:sz w:val="24"/>
          <w:highlight w:val="none"/>
          <w:lang w:eastAsia="zh-CN"/>
        </w:rPr>
        <w:t>。</w:t>
      </w:r>
    </w:p>
    <w:p w14:paraId="1B8418B4">
      <w:pPr>
        <w:widowControl/>
        <w:kinsoku w:val="0"/>
        <w:autoSpaceDE w:val="0"/>
        <w:autoSpaceDN w:val="0"/>
        <w:adjustRightInd w:val="0"/>
        <w:snapToGrid w:val="0"/>
        <w:spacing w:line="314" w:lineRule="exact"/>
        <w:ind w:firstLine="480" w:firstLineChars="200"/>
        <w:jc w:val="left"/>
        <w:textAlignment w:val="baseline"/>
        <w:rPr>
          <w:rFonts w:hint="eastAsia" w:ascii="宋体" w:hAnsi="宋体" w:eastAsia="宋体" w:cs="宋体"/>
          <w:snapToGrid w:val="0"/>
          <w:kern w:val="0"/>
          <w:sz w:val="24"/>
          <w:highlight w:val="none"/>
          <w:lang w:eastAsia="zh-CN"/>
        </w:rPr>
      </w:pPr>
      <w:r>
        <w:rPr>
          <w:rFonts w:hint="eastAsia" w:ascii="宋体" w:hAnsi="宋体" w:cs="宋体"/>
          <w:snapToGrid w:val="0"/>
          <w:kern w:val="0"/>
          <w:sz w:val="24"/>
          <w:highlight w:val="none"/>
        </w:rPr>
        <w:t>2.包装和运输：设备应采用专业包装，确保在运输过程中不受损坏；运输费用由供应商承担，运输过程中的风险也由供应商负责</w:t>
      </w:r>
      <w:r>
        <w:rPr>
          <w:rFonts w:hint="eastAsia" w:ascii="宋体" w:hAnsi="宋体" w:cs="宋体"/>
          <w:snapToGrid w:val="0"/>
          <w:kern w:val="0"/>
          <w:sz w:val="24"/>
          <w:highlight w:val="none"/>
          <w:lang w:eastAsia="zh-CN"/>
        </w:rPr>
        <w:t>。</w:t>
      </w:r>
    </w:p>
    <w:p w14:paraId="0EF0010A">
      <w:pPr>
        <w:rPr>
          <w:rFonts w:ascii="宋体" w:hAnsi="宋体" w:cs="宋体"/>
          <w:highlight w:val="none"/>
        </w:rPr>
      </w:pPr>
    </w:p>
    <w:p w14:paraId="3A844C8B">
      <w:pPr>
        <w:rPr>
          <w:rFonts w:ascii="宋体" w:hAnsi="宋体" w:cs="宋体"/>
          <w:highlight w:val="none"/>
        </w:rPr>
      </w:pPr>
    </w:p>
    <w:p w14:paraId="3EC801F6">
      <w:pPr>
        <w:rPr>
          <w:rFonts w:ascii="宋体" w:hAnsi="宋体" w:cs="宋体"/>
          <w:b/>
          <w:bCs/>
          <w:sz w:val="24"/>
          <w:szCs w:val="32"/>
          <w:highlight w:val="none"/>
        </w:rPr>
      </w:pPr>
    </w:p>
    <w:p w14:paraId="2025DC71">
      <w:pPr>
        <w:rPr>
          <w:rFonts w:ascii="宋体" w:hAnsi="宋体" w:cs="宋体"/>
          <w:b/>
          <w:bCs/>
          <w:sz w:val="24"/>
          <w:szCs w:val="32"/>
          <w:highlight w:val="none"/>
        </w:rPr>
      </w:pPr>
    </w:p>
    <w:p w14:paraId="507F2986">
      <w:pPr>
        <w:rPr>
          <w:rFonts w:ascii="宋体" w:hAnsi="宋体" w:cs="宋体"/>
          <w:highlight w:val="none"/>
        </w:rPr>
      </w:pPr>
      <w:r>
        <w:rPr>
          <w:rFonts w:hint="eastAsia" w:ascii="宋体" w:hAnsi="宋体" w:cs="宋体"/>
          <w:highlight w:val="none"/>
        </w:rPr>
        <w:br w:type="page"/>
      </w:r>
    </w:p>
    <w:p w14:paraId="75B017B4">
      <w:pPr>
        <w:pStyle w:val="2"/>
        <w:ind w:firstLine="210"/>
        <w:rPr>
          <w:rFonts w:ascii="宋体" w:hAnsi="宋体"/>
          <w:highlight w:val="none"/>
        </w:rPr>
      </w:pPr>
    </w:p>
    <w:p w14:paraId="45B85CB1">
      <w:pPr>
        <w:tabs>
          <w:tab w:val="left" w:pos="1286"/>
        </w:tabs>
        <w:spacing w:before="29"/>
        <w:ind w:right="17"/>
        <w:jc w:val="center"/>
        <w:outlineLvl w:val="0"/>
        <w:rPr>
          <w:rFonts w:ascii="宋体" w:hAnsi="宋体" w:cs="宋体"/>
          <w:highlight w:val="none"/>
        </w:rPr>
      </w:pPr>
      <w:r>
        <w:rPr>
          <w:rFonts w:hint="eastAsia" w:ascii="宋体" w:hAnsi="宋体" w:cs="宋体"/>
          <w:b/>
          <w:bCs/>
          <w:sz w:val="36"/>
          <w:szCs w:val="44"/>
          <w:highlight w:val="none"/>
        </w:rPr>
        <w:t>第六章投标文件格式</w:t>
      </w:r>
      <w:bookmarkEnd w:id="34"/>
      <w:bookmarkEnd w:id="35"/>
      <w:bookmarkEnd w:id="36"/>
      <w:bookmarkEnd w:id="37"/>
    </w:p>
    <w:p w14:paraId="7B0F1774">
      <w:pPr>
        <w:pStyle w:val="3"/>
        <w:rPr>
          <w:b/>
          <w:sz w:val="20"/>
          <w:highlight w:val="none"/>
        </w:rPr>
      </w:pPr>
    </w:p>
    <w:p w14:paraId="6942AB2B">
      <w:pPr>
        <w:widowControl/>
        <w:shd w:val="clear" w:color="auto" w:fill="FFFFFF"/>
        <w:spacing w:line="440" w:lineRule="exact"/>
        <w:ind w:right="-370" w:rightChars="-176"/>
        <w:rPr>
          <w:rFonts w:ascii="宋体" w:hAnsi="宋体" w:cs="宋体"/>
          <w:b/>
          <w:bCs/>
          <w:kern w:val="0"/>
          <w:sz w:val="32"/>
          <w:szCs w:val="32"/>
          <w:highlight w:val="none"/>
          <w:shd w:val="clear" w:color="auto" w:fill="FFFFFF"/>
        </w:rPr>
      </w:pPr>
    </w:p>
    <w:p w14:paraId="3F9A761D">
      <w:pPr>
        <w:widowControl/>
        <w:jc w:val="center"/>
        <w:rPr>
          <w:rFonts w:ascii="宋体" w:hAnsi="宋体" w:cs="宋体"/>
          <w:b/>
          <w:bCs/>
          <w:sz w:val="32"/>
          <w:szCs w:val="32"/>
          <w:highlight w:val="none"/>
        </w:rPr>
      </w:pPr>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rPr>
        <w:t>项目名称）</w:t>
      </w:r>
    </w:p>
    <w:p w14:paraId="2D19DE20">
      <w:pPr>
        <w:widowControl/>
        <w:jc w:val="center"/>
        <w:rPr>
          <w:rFonts w:ascii="宋体" w:hAnsi="宋体" w:cs="宋体"/>
          <w:b/>
          <w:bCs/>
          <w:sz w:val="32"/>
          <w:szCs w:val="32"/>
          <w:highlight w:val="none"/>
        </w:rPr>
      </w:pPr>
    </w:p>
    <w:p w14:paraId="295DA2F0">
      <w:pPr>
        <w:spacing w:beforeLines="100"/>
        <w:jc w:val="center"/>
        <w:rPr>
          <w:rFonts w:ascii="宋体" w:hAnsi="宋体" w:cs="宋体"/>
          <w:b/>
          <w:bCs/>
          <w:sz w:val="36"/>
          <w:szCs w:val="36"/>
          <w:highlight w:val="none"/>
        </w:rPr>
      </w:pPr>
    </w:p>
    <w:p w14:paraId="3A4C151F">
      <w:pPr>
        <w:spacing w:beforeLines="100"/>
        <w:jc w:val="center"/>
        <w:rPr>
          <w:rFonts w:ascii="宋体" w:hAnsi="宋体" w:cs="宋体"/>
          <w:b/>
          <w:bCs/>
          <w:sz w:val="36"/>
          <w:szCs w:val="36"/>
          <w:highlight w:val="none"/>
        </w:rPr>
      </w:pPr>
    </w:p>
    <w:p w14:paraId="183EC3FA">
      <w:pPr>
        <w:spacing w:beforeLines="100"/>
        <w:jc w:val="center"/>
        <w:rPr>
          <w:rFonts w:ascii="宋体" w:hAnsi="宋体" w:cs="宋体"/>
          <w:b/>
          <w:bCs/>
          <w:sz w:val="36"/>
          <w:szCs w:val="36"/>
          <w:highlight w:val="none"/>
        </w:rPr>
      </w:pPr>
    </w:p>
    <w:p w14:paraId="5B85D0BD">
      <w:pPr>
        <w:spacing w:beforeLines="100"/>
        <w:jc w:val="center"/>
        <w:rPr>
          <w:rFonts w:ascii="宋体" w:hAnsi="宋体" w:cs="宋体"/>
          <w:b/>
          <w:bCs/>
          <w:sz w:val="30"/>
          <w:szCs w:val="30"/>
          <w:highlight w:val="none"/>
        </w:rPr>
      </w:pPr>
      <w:r>
        <w:rPr>
          <w:rFonts w:hint="eastAsia" w:ascii="宋体" w:hAnsi="宋体" w:cs="宋体"/>
          <w:b/>
          <w:bCs/>
          <w:sz w:val="72"/>
          <w:szCs w:val="72"/>
          <w:highlight w:val="none"/>
        </w:rPr>
        <w:t>投  标  文  件</w:t>
      </w:r>
    </w:p>
    <w:p w14:paraId="0C55985E">
      <w:pPr>
        <w:adjustRightInd w:val="0"/>
        <w:snapToGrid w:val="0"/>
        <w:spacing w:line="480" w:lineRule="auto"/>
        <w:ind w:firstLine="2168" w:firstLineChars="900"/>
        <w:rPr>
          <w:rFonts w:ascii="宋体" w:hAnsi="宋体" w:cs="宋体"/>
          <w:b/>
          <w:bCs/>
          <w:kern w:val="0"/>
          <w:sz w:val="24"/>
          <w:highlight w:val="none"/>
          <w:lang w:val="zh-CN"/>
        </w:rPr>
      </w:pPr>
    </w:p>
    <w:p w14:paraId="4A35EA08">
      <w:pPr>
        <w:pStyle w:val="34"/>
        <w:spacing w:line="480" w:lineRule="auto"/>
        <w:ind w:firstLine="1928" w:firstLineChars="800"/>
        <w:rPr>
          <w:rFonts w:ascii="宋体" w:hAnsi="宋体" w:cs="宋体"/>
          <w:color w:val="auto"/>
          <w:sz w:val="30"/>
          <w:szCs w:val="30"/>
          <w:highlight w:val="none"/>
          <w:u w:val="single"/>
        </w:rPr>
      </w:pPr>
      <w:r>
        <w:rPr>
          <w:rFonts w:hint="eastAsia" w:ascii="宋体" w:hAnsi="宋体" w:cs="宋体"/>
          <w:b/>
          <w:color w:val="auto"/>
          <w:spacing w:val="0"/>
          <w:highlight w:val="none"/>
        </w:rPr>
        <w:t>项目编号</w:t>
      </w:r>
      <w:r>
        <w:rPr>
          <w:rFonts w:hint="eastAsia" w:ascii="宋体" w:hAnsi="宋体" w:cs="宋体"/>
          <w:color w:val="auto"/>
          <w:sz w:val="30"/>
          <w:szCs w:val="30"/>
          <w:highlight w:val="none"/>
        </w:rPr>
        <w:t>：</w:t>
      </w:r>
    </w:p>
    <w:p w14:paraId="1D293959">
      <w:pPr>
        <w:jc w:val="center"/>
        <w:rPr>
          <w:rFonts w:ascii="宋体" w:hAnsi="宋体" w:cs="宋体"/>
          <w:sz w:val="30"/>
          <w:szCs w:val="30"/>
          <w:highlight w:val="none"/>
        </w:rPr>
      </w:pPr>
    </w:p>
    <w:p w14:paraId="0F34365D">
      <w:pPr>
        <w:rPr>
          <w:rFonts w:ascii="宋体" w:hAnsi="宋体" w:cs="宋体"/>
          <w:sz w:val="24"/>
          <w:highlight w:val="none"/>
        </w:rPr>
      </w:pPr>
    </w:p>
    <w:p w14:paraId="7C7B0A61">
      <w:pPr>
        <w:pStyle w:val="2"/>
        <w:ind w:firstLine="210"/>
        <w:rPr>
          <w:rFonts w:ascii="宋体" w:hAnsi="宋体"/>
          <w:highlight w:val="none"/>
        </w:rPr>
      </w:pPr>
    </w:p>
    <w:p w14:paraId="78494B61">
      <w:pPr>
        <w:pStyle w:val="2"/>
        <w:ind w:firstLine="210"/>
        <w:rPr>
          <w:rFonts w:ascii="宋体" w:hAnsi="宋体"/>
          <w:highlight w:val="none"/>
        </w:rPr>
      </w:pPr>
    </w:p>
    <w:p w14:paraId="7CD69DBB">
      <w:pPr>
        <w:rPr>
          <w:rFonts w:ascii="宋体" w:hAnsi="宋体" w:cs="宋体"/>
          <w:highlight w:val="none"/>
        </w:rPr>
      </w:pPr>
    </w:p>
    <w:p w14:paraId="27055E4E">
      <w:pPr>
        <w:pStyle w:val="29"/>
        <w:rPr>
          <w:highlight w:val="none"/>
        </w:rPr>
      </w:pPr>
    </w:p>
    <w:p w14:paraId="3F8A8ED3">
      <w:pPr>
        <w:jc w:val="center"/>
        <w:rPr>
          <w:rFonts w:ascii="宋体" w:hAnsi="宋体" w:cs="宋体"/>
          <w:sz w:val="24"/>
          <w:highlight w:val="none"/>
        </w:rPr>
      </w:pPr>
    </w:p>
    <w:p w14:paraId="47336116">
      <w:pPr>
        <w:jc w:val="center"/>
        <w:rPr>
          <w:rFonts w:ascii="宋体" w:hAnsi="宋体" w:cs="宋体"/>
          <w:sz w:val="24"/>
          <w:highlight w:val="none"/>
        </w:rPr>
      </w:pPr>
    </w:p>
    <w:p w14:paraId="6D831E7B">
      <w:pPr>
        <w:jc w:val="center"/>
        <w:rPr>
          <w:rFonts w:ascii="宋体" w:hAnsi="宋体" w:cs="宋体"/>
          <w:sz w:val="24"/>
          <w:highlight w:val="none"/>
        </w:rPr>
      </w:pPr>
    </w:p>
    <w:p w14:paraId="09112701">
      <w:pPr>
        <w:spacing w:line="480" w:lineRule="auto"/>
        <w:jc w:val="center"/>
        <w:rPr>
          <w:rFonts w:ascii="宋体" w:hAnsi="宋体" w:cs="宋体"/>
          <w:b/>
          <w:bCs/>
          <w:spacing w:val="-13"/>
          <w:sz w:val="28"/>
          <w:szCs w:val="28"/>
          <w:highlight w:val="none"/>
        </w:rPr>
      </w:pPr>
      <w:r>
        <w:rPr>
          <w:rFonts w:hint="eastAsia" w:ascii="宋体" w:hAnsi="宋体" w:cs="宋体"/>
          <w:b/>
          <w:bCs/>
          <w:spacing w:val="-3"/>
          <w:sz w:val="28"/>
          <w:szCs w:val="28"/>
          <w:highlight w:val="none"/>
        </w:rPr>
        <w:t>供应商名称</w:t>
      </w:r>
      <w:r>
        <w:rPr>
          <w:rFonts w:hint="eastAsia" w:ascii="宋体" w:hAnsi="宋体" w:cs="宋体"/>
          <w:b/>
          <w:bCs/>
          <w:sz w:val="28"/>
          <w:szCs w:val="28"/>
          <w:highlight w:val="none"/>
        </w:rPr>
        <w:t>：</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rPr>
        <w:t>（电子签章）</w:t>
      </w:r>
    </w:p>
    <w:p w14:paraId="7FCAF3CA">
      <w:pPr>
        <w:spacing w:line="480" w:lineRule="auto"/>
        <w:ind w:firstLine="843" w:firstLineChars="300"/>
        <w:rPr>
          <w:rFonts w:ascii="宋体" w:hAnsi="宋体" w:cs="宋体"/>
          <w:b/>
          <w:bCs/>
          <w:spacing w:val="-15"/>
          <w:sz w:val="28"/>
          <w:szCs w:val="28"/>
          <w:highlight w:val="none"/>
        </w:rPr>
      </w:pPr>
      <w:r>
        <w:rPr>
          <w:rFonts w:hint="eastAsia" w:ascii="宋体" w:hAnsi="宋体" w:cs="宋体"/>
          <w:b/>
          <w:bCs/>
          <w:sz w:val="28"/>
          <w:szCs w:val="28"/>
          <w:highlight w:val="none"/>
        </w:rPr>
        <w:t>法</w:t>
      </w:r>
      <w:r>
        <w:rPr>
          <w:rFonts w:hint="eastAsia" w:ascii="宋体" w:hAnsi="宋体" w:cs="宋体"/>
          <w:b/>
          <w:bCs/>
          <w:spacing w:val="-3"/>
          <w:sz w:val="28"/>
          <w:szCs w:val="28"/>
          <w:highlight w:val="none"/>
        </w:rPr>
        <w:t>定代表人或其委托代理人：</w:t>
      </w:r>
      <w:r>
        <w:rPr>
          <w:rFonts w:hint="eastAsia" w:ascii="宋体" w:hAnsi="宋体" w:cs="宋体"/>
          <w:b/>
          <w:bCs/>
          <w:sz w:val="28"/>
          <w:szCs w:val="28"/>
          <w:highlight w:val="none"/>
          <w:u w:val="single"/>
        </w:rPr>
        <w:tab/>
      </w:r>
      <w:r>
        <w:rPr>
          <w:rFonts w:hint="eastAsia" w:ascii="宋体" w:hAnsi="宋体" w:cs="宋体"/>
          <w:b/>
          <w:bCs/>
          <w:sz w:val="28"/>
          <w:szCs w:val="28"/>
          <w:highlight w:val="none"/>
        </w:rPr>
        <w:t>（电子签章或电子签名）</w:t>
      </w:r>
    </w:p>
    <w:p w14:paraId="7B62AE05">
      <w:pPr>
        <w:spacing w:line="480" w:lineRule="auto"/>
        <w:jc w:val="center"/>
        <w:rPr>
          <w:rFonts w:ascii="宋体" w:hAnsi="宋体" w:cs="宋体"/>
          <w:b/>
          <w:bCs/>
          <w:sz w:val="28"/>
          <w:szCs w:val="28"/>
          <w:highlight w:val="none"/>
        </w:rPr>
      </w:pPr>
      <w:r>
        <w:rPr>
          <w:rFonts w:hint="eastAsia" w:ascii="宋体" w:hAnsi="宋体" w:cs="宋体"/>
          <w:b/>
          <w:bCs/>
          <w:sz w:val="28"/>
          <w:szCs w:val="28"/>
          <w:highlight w:val="none"/>
        </w:rPr>
        <w:t>日</w:t>
      </w:r>
      <w:r>
        <w:rPr>
          <w:rFonts w:hint="eastAsia" w:ascii="宋体" w:hAnsi="宋体" w:cs="宋体"/>
          <w:b/>
          <w:bCs/>
          <w:sz w:val="28"/>
          <w:szCs w:val="28"/>
          <w:highlight w:val="none"/>
        </w:rPr>
        <w:tab/>
      </w:r>
      <w:r>
        <w:rPr>
          <w:rFonts w:hint="eastAsia" w:ascii="宋体" w:hAnsi="宋体" w:cs="宋体"/>
          <w:b/>
          <w:bCs/>
          <w:sz w:val="28"/>
          <w:szCs w:val="28"/>
          <w:highlight w:val="none"/>
        </w:rPr>
        <w:t>期：</w:t>
      </w:r>
      <w:r>
        <w:rPr>
          <w:rFonts w:hint="eastAsia" w:ascii="宋体" w:hAnsi="宋体" w:cs="宋体"/>
          <w:b/>
          <w:bCs/>
          <w:sz w:val="28"/>
          <w:szCs w:val="28"/>
          <w:highlight w:val="none"/>
          <w:u w:val="single"/>
        </w:rPr>
        <w:tab/>
      </w:r>
      <w:r>
        <w:rPr>
          <w:rFonts w:hint="eastAsia" w:ascii="宋体" w:hAnsi="宋体" w:cs="宋体"/>
          <w:b/>
          <w:bCs/>
          <w:sz w:val="28"/>
          <w:szCs w:val="28"/>
          <w:highlight w:val="none"/>
        </w:rPr>
        <w:t>年</w:t>
      </w:r>
      <w:r>
        <w:rPr>
          <w:rFonts w:hint="eastAsia" w:ascii="宋体" w:hAnsi="宋体" w:cs="宋体"/>
          <w:b/>
          <w:bCs/>
          <w:sz w:val="28"/>
          <w:szCs w:val="28"/>
          <w:highlight w:val="none"/>
          <w:u w:val="single"/>
        </w:rPr>
        <w:tab/>
      </w:r>
      <w:r>
        <w:rPr>
          <w:rFonts w:hint="eastAsia" w:ascii="宋体" w:hAnsi="宋体" w:cs="宋体"/>
          <w:b/>
          <w:bCs/>
          <w:spacing w:val="-3"/>
          <w:sz w:val="28"/>
          <w:szCs w:val="28"/>
          <w:highlight w:val="none"/>
        </w:rPr>
        <w:t>月</w:t>
      </w:r>
      <w:r>
        <w:rPr>
          <w:rFonts w:hint="eastAsia" w:ascii="宋体" w:hAnsi="宋体" w:cs="宋体"/>
          <w:b/>
          <w:bCs/>
          <w:sz w:val="28"/>
          <w:szCs w:val="28"/>
          <w:highlight w:val="none"/>
        </w:rPr>
        <w:t>日</w:t>
      </w:r>
    </w:p>
    <w:p w14:paraId="35B9F6A3">
      <w:pPr>
        <w:rPr>
          <w:rFonts w:ascii="宋体" w:hAnsi="宋体" w:cs="宋体"/>
          <w:sz w:val="36"/>
          <w:szCs w:val="36"/>
          <w:highlight w:val="none"/>
        </w:rPr>
      </w:pPr>
    </w:p>
    <w:p w14:paraId="2D1E30F2">
      <w:pPr>
        <w:jc w:val="center"/>
        <w:rPr>
          <w:rFonts w:ascii="宋体" w:hAnsi="宋体" w:cs="宋体"/>
          <w:sz w:val="36"/>
          <w:szCs w:val="36"/>
          <w:highlight w:val="none"/>
        </w:rPr>
      </w:pPr>
    </w:p>
    <w:p w14:paraId="75233627">
      <w:pPr>
        <w:rPr>
          <w:rFonts w:ascii="宋体" w:hAnsi="宋体" w:cs="宋体"/>
          <w:sz w:val="36"/>
          <w:szCs w:val="36"/>
          <w:highlight w:val="none"/>
        </w:rPr>
      </w:pPr>
    </w:p>
    <w:p w14:paraId="43EE1119">
      <w:pPr>
        <w:pStyle w:val="11"/>
        <w:rPr>
          <w:rFonts w:ascii="宋体" w:hAnsi="宋体" w:eastAsia="宋体" w:cs="宋体"/>
          <w:highlight w:val="none"/>
        </w:rPr>
      </w:pPr>
    </w:p>
    <w:p w14:paraId="69F32B94">
      <w:pPr>
        <w:jc w:val="center"/>
        <w:rPr>
          <w:rFonts w:ascii="宋体" w:hAnsi="宋体" w:cs="宋体"/>
          <w:b/>
          <w:bCs/>
          <w:sz w:val="36"/>
          <w:szCs w:val="36"/>
          <w:highlight w:val="none"/>
        </w:rPr>
      </w:pPr>
      <w:r>
        <w:rPr>
          <w:rFonts w:hint="eastAsia" w:ascii="宋体" w:hAnsi="宋体" w:cs="宋体"/>
          <w:b/>
          <w:bCs/>
          <w:sz w:val="36"/>
          <w:szCs w:val="36"/>
          <w:highlight w:val="none"/>
        </w:rPr>
        <w:t>目    录</w:t>
      </w:r>
    </w:p>
    <w:p w14:paraId="34B7B69E">
      <w:pPr>
        <w:rPr>
          <w:rFonts w:ascii="宋体" w:hAnsi="宋体" w:cs="宋体"/>
          <w:sz w:val="36"/>
          <w:szCs w:val="36"/>
          <w:highlight w:val="none"/>
        </w:rPr>
      </w:pPr>
    </w:p>
    <w:p w14:paraId="0C76D100">
      <w:pPr>
        <w:snapToGrid w:val="0"/>
        <w:spacing w:line="360" w:lineRule="auto"/>
        <w:ind w:firstLine="1287" w:firstLineChars="550"/>
        <w:rPr>
          <w:rFonts w:ascii="宋体" w:hAnsi="宋体" w:cs="宋体"/>
          <w:spacing w:val="-3"/>
          <w:sz w:val="24"/>
          <w:highlight w:val="none"/>
        </w:rPr>
      </w:pPr>
    </w:p>
    <w:p w14:paraId="13892CE1">
      <w:pPr>
        <w:pStyle w:val="18"/>
        <w:ind w:left="860" w:hanging="440"/>
        <w:rPr>
          <w:highlight w:val="none"/>
        </w:rPr>
      </w:pPr>
    </w:p>
    <w:p w14:paraId="5EE52969">
      <w:pPr>
        <w:pStyle w:val="31"/>
        <w:tabs>
          <w:tab w:val="left" w:pos="1335"/>
        </w:tabs>
        <w:spacing w:before="131" w:line="360" w:lineRule="auto"/>
        <w:ind w:left="0" w:firstLine="0"/>
        <w:rPr>
          <w:spacing w:val="-3"/>
          <w:sz w:val="21"/>
          <w:szCs w:val="21"/>
          <w:highlight w:val="none"/>
          <w:lang w:val="en-US"/>
        </w:rPr>
      </w:pPr>
    </w:p>
    <w:p w14:paraId="7F405AB7">
      <w:pPr>
        <w:spacing w:line="360" w:lineRule="auto"/>
        <w:ind w:firstLine="560" w:firstLineChars="200"/>
        <w:rPr>
          <w:rFonts w:ascii="宋体" w:hAnsi="宋体" w:cs="宋体"/>
          <w:sz w:val="28"/>
          <w:szCs w:val="28"/>
          <w:highlight w:val="none"/>
        </w:rPr>
      </w:pPr>
    </w:p>
    <w:p w14:paraId="68A3221F">
      <w:pPr>
        <w:pStyle w:val="34"/>
        <w:ind w:firstLine="600"/>
        <w:rPr>
          <w:rFonts w:ascii="宋体" w:hAnsi="宋体" w:cs="宋体"/>
          <w:color w:val="auto"/>
          <w:sz w:val="28"/>
          <w:szCs w:val="28"/>
          <w:highlight w:val="none"/>
        </w:rPr>
      </w:pPr>
    </w:p>
    <w:p w14:paraId="46ABAE84">
      <w:pPr>
        <w:pStyle w:val="34"/>
        <w:ind w:firstLine="600"/>
        <w:rPr>
          <w:rFonts w:ascii="宋体" w:hAnsi="宋体" w:cs="宋体"/>
          <w:color w:val="auto"/>
          <w:sz w:val="28"/>
          <w:szCs w:val="28"/>
          <w:highlight w:val="none"/>
        </w:rPr>
      </w:pPr>
    </w:p>
    <w:p w14:paraId="5FEA4E10">
      <w:pPr>
        <w:spacing w:line="440" w:lineRule="exact"/>
        <w:rPr>
          <w:rFonts w:ascii="宋体" w:hAnsi="宋体" w:cs="宋体"/>
          <w:sz w:val="30"/>
          <w:szCs w:val="30"/>
          <w:highlight w:val="none"/>
        </w:rPr>
      </w:pPr>
    </w:p>
    <w:p w14:paraId="44BF1E21">
      <w:pPr>
        <w:pStyle w:val="2"/>
        <w:ind w:firstLine="300"/>
        <w:rPr>
          <w:rFonts w:ascii="宋体" w:hAnsi="宋体"/>
          <w:sz w:val="30"/>
          <w:szCs w:val="30"/>
          <w:highlight w:val="none"/>
        </w:rPr>
      </w:pPr>
    </w:p>
    <w:p w14:paraId="2FE57E56">
      <w:pPr>
        <w:pStyle w:val="2"/>
        <w:ind w:firstLine="300"/>
        <w:rPr>
          <w:rFonts w:ascii="宋体" w:hAnsi="宋体"/>
          <w:sz w:val="30"/>
          <w:szCs w:val="30"/>
          <w:highlight w:val="none"/>
        </w:rPr>
      </w:pPr>
    </w:p>
    <w:p w14:paraId="4CC31A50">
      <w:pPr>
        <w:pStyle w:val="2"/>
        <w:ind w:firstLine="300"/>
        <w:rPr>
          <w:rFonts w:ascii="宋体" w:hAnsi="宋体"/>
          <w:sz w:val="30"/>
          <w:szCs w:val="30"/>
          <w:highlight w:val="none"/>
        </w:rPr>
      </w:pPr>
    </w:p>
    <w:p w14:paraId="4FF18B0C">
      <w:pPr>
        <w:rPr>
          <w:rFonts w:ascii="宋体" w:hAnsi="宋体" w:cs="宋体"/>
          <w:sz w:val="30"/>
          <w:szCs w:val="30"/>
          <w:highlight w:val="none"/>
        </w:rPr>
      </w:pPr>
      <w:r>
        <w:rPr>
          <w:rFonts w:hint="eastAsia" w:ascii="宋体" w:hAnsi="宋体" w:cs="宋体"/>
          <w:sz w:val="30"/>
          <w:szCs w:val="30"/>
          <w:highlight w:val="none"/>
        </w:rPr>
        <w:br w:type="page"/>
      </w:r>
    </w:p>
    <w:p w14:paraId="25FEA418">
      <w:pPr>
        <w:pStyle w:val="29"/>
        <w:rPr>
          <w:highlight w:val="none"/>
        </w:rPr>
      </w:pPr>
    </w:p>
    <w:p w14:paraId="1D930727">
      <w:pPr>
        <w:tabs>
          <w:tab w:val="left" w:pos="6566"/>
        </w:tabs>
        <w:jc w:val="center"/>
        <w:rPr>
          <w:rFonts w:ascii="宋体" w:hAnsi="宋体" w:cs="宋体"/>
          <w:b/>
          <w:bCs/>
          <w:sz w:val="36"/>
          <w:szCs w:val="28"/>
          <w:highlight w:val="none"/>
        </w:rPr>
      </w:pPr>
      <w:r>
        <w:rPr>
          <w:rFonts w:hint="eastAsia" w:ascii="宋体" w:hAnsi="宋体" w:cs="宋体"/>
          <w:b/>
          <w:bCs/>
          <w:sz w:val="36"/>
          <w:szCs w:val="28"/>
          <w:highlight w:val="none"/>
        </w:rPr>
        <w:t>一、投标函及投标函附录</w:t>
      </w:r>
    </w:p>
    <w:p w14:paraId="444E61B6">
      <w:pPr>
        <w:keepNext/>
        <w:keepLines/>
        <w:spacing w:before="260" w:after="260" w:line="416" w:lineRule="auto"/>
        <w:jc w:val="center"/>
        <w:rPr>
          <w:rFonts w:ascii="宋体" w:hAnsi="宋体" w:cs="宋体"/>
          <w:b/>
          <w:bCs/>
          <w:sz w:val="36"/>
          <w:szCs w:val="28"/>
          <w:highlight w:val="none"/>
        </w:rPr>
      </w:pPr>
      <w:bookmarkStart w:id="38" w:name="_Toc20172"/>
      <w:bookmarkStart w:id="39" w:name="_Toc21938"/>
      <w:bookmarkStart w:id="40" w:name="_Toc8062"/>
      <w:bookmarkStart w:id="41" w:name="_Toc21741"/>
      <w:bookmarkStart w:id="42" w:name="_Toc22957"/>
      <w:bookmarkStart w:id="43" w:name="_Toc3776"/>
      <w:bookmarkStart w:id="44" w:name="_Toc257"/>
      <w:bookmarkStart w:id="45" w:name="_Toc15663"/>
      <w:r>
        <w:rPr>
          <w:rFonts w:hint="eastAsia" w:ascii="宋体" w:hAnsi="宋体" w:cs="宋体"/>
          <w:b/>
          <w:bCs/>
          <w:sz w:val="36"/>
          <w:szCs w:val="28"/>
          <w:highlight w:val="none"/>
        </w:rPr>
        <w:t>（一）</w:t>
      </w:r>
      <w:bookmarkEnd w:id="38"/>
      <w:bookmarkEnd w:id="39"/>
      <w:bookmarkEnd w:id="40"/>
      <w:bookmarkEnd w:id="41"/>
      <w:bookmarkEnd w:id="42"/>
      <w:bookmarkEnd w:id="43"/>
      <w:r>
        <w:rPr>
          <w:rFonts w:hint="eastAsia" w:ascii="宋体" w:hAnsi="宋体" w:cs="宋体"/>
          <w:b/>
          <w:bCs/>
          <w:sz w:val="36"/>
          <w:szCs w:val="28"/>
          <w:highlight w:val="none"/>
        </w:rPr>
        <w:t>投标函</w:t>
      </w:r>
      <w:bookmarkEnd w:id="44"/>
      <w:bookmarkEnd w:id="45"/>
    </w:p>
    <w:p w14:paraId="2367304F">
      <w:pPr>
        <w:widowControl/>
        <w:spacing w:line="460" w:lineRule="exact"/>
        <w:rPr>
          <w:rFonts w:ascii="宋体" w:hAnsi="宋体" w:cs="宋体"/>
          <w:kern w:val="0"/>
          <w:sz w:val="24"/>
          <w:highlight w:val="none"/>
        </w:rPr>
      </w:pPr>
      <w:r>
        <w:rPr>
          <w:rFonts w:hint="eastAsia" w:ascii="宋体" w:hAnsi="宋体" w:cs="宋体"/>
          <w:kern w:val="0"/>
          <w:sz w:val="24"/>
          <w:highlight w:val="none"/>
          <w:u w:val="single"/>
        </w:rPr>
        <w:t>（采购人）</w:t>
      </w:r>
      <w:r>
        <w:rPr>
          <w:rFonts w:hint="eastAsia" w:ascii="宋体" w:hAnsi="宋体" w:cs="宋体"/>
          <w:kern w:val="0"/>
          <w:sz w:val="24"/>
          <w:highlight w:val="none"/>
          <w:u w:val="single"/>
          <w:lang w:val="en-US" w:eastAsia="zh-CN"/>
        </w:rPr>
        <w:t xml:space="preserve">        </w:t>
      </w:r>
      <w:r>
        <w:rPr>
          <w:rFonts w:hint="eastAsia" w:ascii="宋体" w:hAnsi="宋体" w:cs="宋体"/>
          <w:kern w:val="0"/>
          <w:sz w:val="24"/>
          <w:highlight w:val="none"/>
        </w:rPr>
        <w:t>：</w:t>
      </w:r>
    </w:p>
    <w:p w14:paraId="74464763">
      <w:pPr>
        <w:numPr>
          <w:ilvl w:val="0"/>
          <w:numId w:val="14"/>
        </w:numPr>
        <w:spacing w:line="360" w:lineRule="auto"/>
        <w:ind w:firstLine="480" w:firstLineChars="200"/>
        <w:rPr>
          <w:rFonts w:ascii="宋体" w:hAnsi="宋体" w:cs="宋体"/>
          <w:kern w:val="0"/>
          <w:sz w:val="24"/>
          <w:szCs w:val="20"/>
          <w:highlight w:val="none"/>
        </w:rPr>
      </w:pPr>
      <w:r>
        <w:rPr>
          <w:rFonts w:hint="eastAsia" w:ascii="宋体" w:hAnsi="宋体" w:cs="宋体"/>
          <w:kern w:val="0"/>
          <w:sz w:val="24"/>
          <w:szCs w:val="20"/>
          <w:highlight w:val="none"/>
        </w:rPr>
        <w:t>我方已仔细研究了</w:t>
      </w:r>
      <w:r>
        <w:rPr>
          <w:rFonts w:hint="eastAsia" w:ascii="宋体" w:hAnsi="宋体" w:cs="宋体"/>
          <w:kern w:val="0"/>
          <w:sz w:val="24"/>
          <w:szCs w:val="20"/>
          <w:highlight w:val="none"/>
          <w:u w:val="single"/>
          <w:lang w:val="en-US" w:eastAsia="zh-CN"/>
        </w:rPr>
        <w:t xml:space="preserve">                </w:t>
      </w:r>
      <w:r>
        <w:rPr>
          <w:rFonts w:hint="eastAsia" w:ascii="宋体" w:hAnsi="宋体" w:cs="宋体"/>
          <w:kern w:val="0"/>
          <w:sz w:val="24"/>
          <w:szCs w:val="20"/>
          <w:highlight w:val="none"/>
        </w:rPr>
        <w:t>（项目名称）采购招标文件的全部内容，愿意以人民币（大写）</w:t>
      </w:r>
      <w:r>
        <w:rPr>
          <w:rFonts w:hint="eastAsia" w:ascii="宋体" w:hAnsi="宋体" w:cs="宋体"/>
          <w:kern w:val="0"/>
          <w:sz w:val="24"/>
          <w:szCs w:val="20"/>
          <w:highlight w:val="none"/>
          <w:u w:val="single"/>
          <w:lang w:val="en-US" w:eastAsia="zh-CN"/>
        </w:rPr>
        <w:t xml:space="preserve">           </w:t>
      </w:r>
      <w:r>
        <w:rPr>
          <w:rFonts w:hint="eastAsia" w:ascii="宋体" w:hAnsi="宋体" w:cs="宋体"/>
          <w:kern w:val="0"/>
          <w:sz w:val="24"/>
          <w:szCs w:val="20"/>
          <w:highlight w:val="none"/>
          <w:lang w:val="en-US" w:eastAsia="zh-CN"/>
        </w:rPr>
        <w:t xml:space="preserve"> </w:t>
      </w:r>
      <w:r>
        <w:rPr>
          <w:rFonts w:hint="eastAsia" w:ascii="宋体" w:hAnsi="宋体" w:cs="宋体"/>
          <w:kern w:val="0"/>
          <w:sz w:val="24"/>
          <w:szCs w:val="20"/>
          <w:highlight w:val="none"/>
        </w:rPr>
        <w:t>小写（</w:t>
      </w:r>
      <w:r>
        <w:rPr>
          <w:rFonts w:hint="eastAsia" w:ascii="宋体" w:hAnsi="宋体" w:cs="宋体"/>
          <w:kern w:val="0"/>
          <w:szCs w:val="21"/>
          <w:highlight w:val="none"/>
          <w:shd w:val="clear" w:color="auto" w:fill="FFFFFF"/>
        </w:rPr>
        <w:t>￥</w:t>
      </w:r>
      <w:r>
        <w:rPr>
          <w:rFonts w:hint="eastAsia" w:ascii="宋体" w:hAnsi="宋体" w:cs="宋体"/>
          <w:kern w:val="0"/>
          <w:szCs w:val="21"/>
          <w:highlight w:val="none"/>
          <w:u w:val="single"/>
          <w:shd w:val="clear" w:color="auto" w:fill="FFFFFF"/>
          <w:lang w:val="en-US" w:eastAsia="zh-CN"/>
        </w:rPr>
        <w:t xml:space="preserve">              </w:t>
      </w:r>
      <w:r>
        <w:rPr>
          <w:rFonts w:hint="eastAsia" w:ascii="宋体" w:hAnsi="宋体" w:cs="宋体"/>
          <w:kern w:val="0"/>
          <w:sz w:val="24"/>
          <w:szCs w:val="20"/>
          <w:highlight w:val="none"/>
        </w:rPr>
        <w:t>）元投标总报价，</w:t>
      </w:r>
      <w:r>
        <w:rPr>
          <w:rFonts w:hint="eastAsia" w:ascii="宋体" w:hAnsi="宋体" w:cs="宋体"/>
          <w:kern w:val="0"/>
          <w:sz w:val="24"/>
          <w:szCs w:val="20"/>
          <w:highlight w:val="none"/>
          <w:lang w:val="en-US" w:eastAsia="zh-CN"/>
        </w:rPr>
        <w:t>供货期</w:t>
      </w:r>
      <w:r>
        <w:rPr>
          <w:rFonts w:hint="eastAsia" w:ascii="宋体" w:hAnsi="宋体" w:cs="宋体"/>
          <w:kern w:val="0"/>
          <w:sz w:val="24"/>
          <w:szCs w:val="20"/>
          <w:highlight w:val="none"/>
        </w:rPr>
        <w:t>：</w:t>
      </w:r>
      <w:r>
        <w:rPr>
          <w:rFonts w:hint="eastAsia" w:ascii="宋体" w:hAnsi="宋体" w:cs="宋体"/>
          <w:kern w:val="0"/>
          <w:sz w:val="24"/>
          <w:szCs w:val="20"/>
          <w:highlight w:val="none"/>
          <w:u w:val="single"/>
          <w:lang w:val="en-US" w:eastAsia="zh-CN"/>
        </w:rPr>
        <w:t xml:space="preserve">    </w:t>
      </w:r>
      <w:r>
        <w:rPr>
          <w:rFonts w:hint="eastAsia" w:ascii="宋体" w:hAnsi="宋体" w:cs="宋体"/>
          <w:kern w:val="0"/>
          <w:sz w:val="24"/>
          <w:szCs w:val="20"/>
          <w:highlight w:val="none"/>
        </w:rPr>
        <w:t>，按合同约定完成全部合同内容，质量要求：</w:t>
      </w:r>
      <w:r>
        <w:rPr>
          <w:rFonts w:hint="eastAsia" w:ascii="宋体" w:hAnsi="宋体" w:cs="宋体"/>
          <w:kern w:val="0"/>
          <w:sz w:val="24"/>
          <w:szCs w:val="20"/>
          <w:highlight w:val="none"/>
          <w:u w:val="single"/>
          <w:lang w:val="en-US" w:eastAsia="zh-CN"/>
        </w:rPr>
        <w:t xml:space="preserve">      </w:t>
      </w:r>
      <w:r>
        <w:rPr>
          <w:rFonts w:hint="eastAsia" w:ascii="宋体" w:hAnsi="宋体" w:cs="宋体"/>
          <w:kern w:val="0"/>
          <w:sz w:val="24"/>
          <w:szCs w:val="20"/>
          <w:highlight w:val="none"/>
          <w:lang w:val="en-US" w:eastAsia="zh-CN"/>
        </w:rPr>
        <w:t xml:space="preserve"> </w:t>
      </w:r>
      <w:r>
        <w:rPr>
          <w:rFonts w:hint="eastAsia" w:ascii="宋体" w:hAnsi="宋体" w:cs="宋体"/>
          <w:kern w:val="0"/>
          <w:sz w:val="24"/>
          <w:szCs w:val="20"/>
          <w:highlight w:val="none"/>
        </w:rPr>
        <w:t xml:space="preserve">。 </w:t>
      </w:r>
    </w:p>
    <w:p w14:paraId="0412CF73">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2．我方承诺在投标有效期内不修改、撤销响应文件。</w:t>
      </w:r>
    </w:p>
    <w:p w14:paraId="66B424B7">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3．如我方中标：</w:t>
      </w:r>
    </w:p>
    <w:p w14:paraId="34BAD9D0">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（1）我方承诺在收到成交通知书后，在成交通知书规定的期限内与你方签订合同。</w:t>
      </w:r>
    </w:p>
    <w:p w14:paraId="5A7557CE">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（2）随同本投标函递交的投标函附录属于合同文件的组成部分。</w:t>
      </w:r>
    </w:p>
    <w:p w14:paraId="735033B2">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（3）我方承诺在合同约定的期限内完成全部合同内容。</w:t>
      </w:r>
    </w:p>
    <w:p w14:paraId="28335E79">
      <w:pPr>
        <w:spacing w:line="360" w:lineRule="auto"/>
        <w:ind w:firstLine="480" w:firstLineChars="200"/>
        <w:rPr>
          <w:rFonts w:ascii="宋体" w:hAnsi="宋体" w:cs="宋体"/>
          <w:kern w:val="0"/>
          <w:sz w:val="24"/>
          <w:szCs w:val="21"/>
          <w:highlight w:val="none"/>
        </w:rPr>
      </w:pPr>
      <w:r>
        <w:rPr>
          <w:rFonts w:hint="eastAsia" w:ascii="宋体" w:hAnsi="宋体" w:cs="宋体"/>
          <w:kern w:val="0"/>
          <w:sz w:val="24"/>
          <w:szCs w:val="21"/>
          <w:highlight w:val="none"/>
        </w:rPr>
        <w:t>4．我方在此声明，所递交的响应文件及有关资料内容完整、真实和准确。</w:t>
      </w:r>
    </w:p>
    <w:p w14:paraId="76F150A8">
      <w:pPr>
        <w:widowControl/>
        <w:spacing w:line="460" w:lineRule="exact"/>
        <w:ind w:firstLine="570"/>
        <w:rPr>
          <w:rFonts w:ascii="宋体" w:hAnsi="宋体" w:cs="宋体"/>
          <w:kern w:val="0"/>
          <w:sz w:val="24"/>
          <w:szCs w:val="21"/>
          <w:highlight w:val="none"/>
        </w:rPr>
      </w:pPr>
    </w:p>
    <w:p w14:paraId="34CFE13E">
      <w:pPr>
        <w:widowControl/>
        <w:spacing w:line="460" w:lineRule="exact"/>
        <w:ind w:firstLine="570"/>
        <w:rPr>
          <w:rFonts w:ascii="宋体" w:hAnsi="宋体" w:cs="宋体"/>
          <w:kern w:val="0"/>
          <w:sz w:val="24"/>
          <w:szCs w:val="21"/>
          <w:highlight w:val="none"/>
        </w:rPr>
      </w:pPr>
    </w:p>
    <w:p w14:paraId="429C137A">
      <w:pPr>
        <w:widowControl/>
        <w:spacing w:line="460" w:lineRule="exact"/>
        <w:ind w:firstLine="570"/>
        <w:rPr>
          <w:rFonts w:ascii="宋体" w:hAnsi="宋体" w:cs="宋体"/>
          <w:kern w:val="0"/>
          <w:sz w:val="24"/>
          <w:highlight w:val="none"/>
        </w:rPr>
      </w:pPr>
    </w:p>
    <w:p w14:paraId="28AE2159">
      <w:pPr>
        <w:widowControl/>
        <w:spacing w:line="460" w:lineRule="exact"/>
        <w:ind w:firstLine="570"/>
        <w:rPr>
          <w:rFonts w:ascii="宋体" w:hAnsi="宋体" w:cs="宋体"/>
          <w:kern w:val="0"/>
          <w:sz w:val="24"/>
          <w:highlight w:val="none"/>
        </w:rPr>
      </w:pPr>
    </w:p>
    <w:p w14:paraId="683803C0">
      <w:pPr>
        <w:widowControl/>
        <w:spacing w:line="460" w:lineRule="exact"/>
        <w:ind w:firstLine="570"/>
        <w:rPr>
          <w:rFonts w:ascii="宋体" w:hAnsi="宋体" w:cs="宋体"/>
          <w:kern w:val="0"/>
          <w:sz w:val="24"/>
          <w:highlight w:val="none"/>
        </w:rPr>
      </w:pPr>
    </w:p>
    <w:p w14:paraId="34158E92">
      <w:pPr>
        <w:spacing w:line="480" w:lineRule="auto"/>
        <w:ind w:firstLine="480" w:firstLineChars="200"/>
        <w:jc w:val="right"/>
        <w:rPr>
          <w:rFonts w:ascii="宋体" w:hAnsi="宋体" w:cs="宋体"/>
          <w:kern w:val="0"/>
          <w:sz w:val="24"/>
          <w:highlight w:val="none"/>
        </w:rPr>
      </w:pPr>
      <w:r>
        <w:rPr>
          <w:rFonts w:hint="eastAsia" w:ascii="宋体" w:hAnsi="宋体" w:cs="宋体"/>
          <w:kern w:val="0"/>
          <w:sz w:val="24"/>
          <w:highlight w:val="none"/>
        </w:rPr>
        <w:t>供应商：（电子签章）</w:t>
      </w:r>
    </w:p>
    <w:p w14:paraId="47FD62A3">
      <w:pPr>
        <w:spacing w:line="480" w:lineRule="auto"/>
        <w:ind w:firstLine="480" w:firstLineChars="200"/>
        <w:jc w:val="center"/>
        <w:rPr>
          <w:rFonts w:ascii="宋体" w:hAnsi="宋体" w:cs="宋体"/>
          <w:kern w:val="0"/>
          <w:sz w:val="24"/>
          <w:highlight w:val="none"/>
        </w:rPr>
      </w:pPr>
      <w:r>
        <w:rPr>
          <w:rFonts w:hint="eastAsia" w:ascii="宋体" w:hAnsi="宋体" w:cs="宋体"/>
          <w:kern w:val="0"/>
          <w:sz w:val="24"/>
          <w:highlight w:val="none"/>
        </w:rPr>
        <w:t>日期：</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年 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14:paraId="446E6CE0">
      <w:pPr>
        <w:widowControl/>
        <w:spacing w:line="460" w:lineRule="exact"/>
        <w:ind w:firstLine="570"/>
        <w:rPr>
          <w:rFonts w:ascii="宋体" w:hAnsi="宋体" w:cs="宋体"/>
          <w:kern w:val="0"/>
          <w:sz w:val="24"/>
          <w:highlight w:val="none"/>
        </w:rPr>
      </w:pPr>
    </w:p>
    <w:p w14:paraId="323198BB">
      <w:pPr>
        <w:spacing w:line="360" w:lineRule="auto"/>
        <w:ind w:firstLine="645"/>
        <w:rPr>
          <w:rStyle w:val="33"/>
          <w:rFonts w:ascii="宋体" w:hAnsi="宋体" w:cs="宋体"/>
          <w:sz w:val="24"/>
          <w:highlight w:val="none"/>
        </w:rPr>
      </w:pPr>
      <w:r>
        <w:rPr>
          <w:rStyle w:val="33"/>
          <w:rFonts w:hint="eastAsia" w:ascii="宋体" w:hAnsi="宋体" w:cs="宋体"/>
          <w:b/>
          <w:sz w:val="24"/>
          <w:highlight w:val="none"/>
        </w:rPr>
        <w:t>注：整份文件投标函需与系统中投标函保持一致，如不一致以整份投标文件为准。</w:t>
      </w:r>
    </w:p>
    <w:p w14:paraId="7DFE22A7">
      <w:pPr>
        <w:ind w:left="378" w:firstLine="241" w:firstLineChars="100"/>
        <w:rPr>
          <w:rStyle w:val="27"/>
          <w:rFonts w:ascii="宋体" w:hAnsi="宋体" w:eastAsia="宋体" w:cs="宋体"/>
          <w:kern w:val="2"/>
          <w:sz w:val="21"/>
          <w:szCs w:val="21"/>
          <w:highlight w:val="none"/>
        </w:rPr>
      </w:pPr>
      <w:r>
        <w:rPr>
          <w:rStyle w:val="33"/>
          <w:rFonts w:hint="eastAsia" w:ascii="宋体" w:hAnsi="宋体" w:cs="宋体"/>
          <w:b/>
          <w:sz w:val="24"/>
          <w:highlight w:val="none"/>
        </w:rPr>
        <w:br w:type="page"/>
      </w:r>
    </w:p>
    <w:p w14:paraId="343E4EF2">
      <w:pPr>
        <w:jc w:val="center"/>
        <w:rPr>
          <w:rStyle w:val="33"/>
          <w:rFonts w:ascii="宋体" w:hAnsi="宋体" w:cs="宋体"/>
          <w:sz w:val="24"/>
          <w:highlight w:val="none"/>
        </w:rPr>
      </w:pPr>
      <w:r>
        <w:rPr>
          <w:rFonts w:hint="eastAsia" w:ascii="宋体" w:hAnsi="宋体" w:cs="宋体"/>
          <w:b/>
          <w:bCs/>
          <w:kern w:val="0"/>
          <w:sz w:val="32"/>
          <w:szCs w:val="32"/>
          <w:highlight w:val="none"/>
        </w:rPr>
        <w:t>（二）投标函附录</w:t>
      </w:r>
    </w:p>
    <w:tbl>
      <w:tblPr>
        <w:tblStyle w:val="24"/>
        <w:tblW w:w="86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82"/>
        <w:gridCol w:w="1936"/>
        <w:gridCol w:w="5961"/>
      </w:tblGrid>
      <w:tr w14:paraId="0487C8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41" w:hRule="atLeast"/>
          <w:jc w:val="center"/>
        </w:trPr>
        <w:tc>
          <w:tcPr>
            <w:tcW w:w="2718" w:type="dxa"/>
            <w:gridSpan w:val="2"/>
            <w:tcBorders>
              <w:top w:val="single" w:color="000000" w:sz="12" w:space="0"/>
              <w:left w:val="single" w:color="000000" w:sz="12" w:space="0"/>
              <w:bottom w:val="single" w:color="000000" w:sz="6" w:space="0"/>
              <w:right w:val="single" w:color="000000" w:sz="6" w:space="0"/>
            </w:tcBorders>
            <w:noWrap/>
            <w:vAlign w:val="center"/>
          </w:tcPr>
          <w:p w14:paraId="3D103548">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项目名称</w:t>
            </w:r>
          </w:p>
        </w:tc>
        <w:tc>
          <w:tcPr>
            <w:tcW w:w="5961" w:type="dxa"/>
            <w:tcBorders>
              <w:top w:val="single" w:color="000000" w:sz="12" w:space="0"/>
              <w:left w:val="single" w:color="000000" w:sz="6" w:space="0"/>
              <w:bottom w:val="single" w:color="000000" w:sz="6" w:space="0"/>
              <w:right w:val="single" w:color="000000" w:sz="12" w:space="0"/>
            </w:tcBorders>
            <w:noWrap/>
            <w:vAlign w:val="center"/>
          </w:tcPr>
          <w:p w14:paraId="307D38CC">
            <w:pPr>
              <w:spacing w:line="440" w:lineRule="exact"/>
              <w:jc w:val="center"/>
              <w:rPr>
                <w:rStyle w:val="33"/>
                <w:rFonts w:ascii="宋体" w:hAnsi="宋体" w:cs="宋体"/>
                <w:kern w:val="0"/>
                <w:sz w:val="24"/>
                <w:szCs w:val="24"/>
                <w:highlight w:val="none"/>
              </w:rPr>
            </w:pPr>
          </w:p>
        </w:tc>
      </w:tr>
      <w:tr w14:paraId="4D37F1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ign w:val="center"/>
          </w:tcPr>
          <w:p w14:paraId="01346066">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1</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718CB069">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供应商</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13513782">
            <w:pPr>
              <w:spacing w:line="440" w:lineRule="exact"/>
              <w:jc w:val="center"/>
              <w:rPr>
                <w:rStyle w:val="33"/>
                <w:rFonts w:ascii="宋体" w:hAnsi="宋体" w:cs="宋体"/>
                <w:kern w:val="0"/>
                <w:sz w:val="24"/>
                <w:szCs w:val="24"/>
                <w:highlight w:val="none"/>
              </w:rPr>
            </w:pPr>
          </w:p>
        </w:tc>
      </w:tr>
      <w:tr w14:paraId="3351B3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ign w:val="center"/>
          </w:tcPr>
          <w:p w14:paraId="704C545E">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2</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3A6C9C0E">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投标总报价</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0849A3DD">
            <w:pPr>
              <w:spacing w:line="440" w:lineRule="exact"/>
              <w:ind w:firstLine="960" w:firstLineChars="400"/>
              <w:rPr>
                <w:rStyle w:val="33"/>
                <w:rFonts w:ascii="宋体" w:hAnsi="宋体" w:cs="宋体"/>
                <w:dstrike/>
                <w:sz w:val="24"/>
                <w:szCs w:val="24"/>
                <w:highlight w:val="none"/>
                <w:u w:val="single"/>
              </w:rPr>
            </w:pPr>
            <w:r>
              <w:rPr>
                <w:rStyle w:val="33"/>
                <w:rFonts w:hint="eastAsia" w:ascii="宋体" w:hAnsi="宋体" w:cs="宋体"/>
                <w:sz w:val="24"/>
                <w:szCs w:val="24"/>
                <w:highlight w:val="none"/>
              </w:rPr>
              <w:t>大写：</w:t>
            </w:r>
          </w:p>
          <w:p w14:paraId="49A202D4">
            <w:pPr>
              <w:spacing w:line="440" w:lineRule="exact"/>
              <w:ind w:firstLine="960" w:firstLineChars="400"/>
              <w:rPr>
                <w:rStyle w:val="33"/>
                <w:rFonts w:ascii="宋体" w:hAnsi="宋体" w:cs="宋体"/>
                <w:sz w:val="24"/>
                <w:szCs w:val="24"/>
                <w:highlight w:val="none"/>
              </w:rPr>
            </w:pPr>
            <w:r>
              <w:rPr>
                <w:rStyle w:val="33"/>
                <w:rFonts w:hint="eastAsia" w:ascii="宋体" w:hAnsi="宋体" w:cs="宋体"/>
                <w:sz w:val="24"/>
                <w:szCs w:val="24"/>
                <w:highlight w:val="none"/>
              </w:rPr>
              <w:t>小写：元</w:t>
            </w:r>
          </w:p>
        </w:tc>
      </w:tr>
      <w:tr w14:paraId="712D72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ign w:val="center"/>
          </w:tcPr>
          <w:p w14:paraId="1106BF7A">
            <w:pPr>
              <w:spacing w:line="440" w:lineRule="exact"/>
              <w:jc w:val="center"/>
              <w:rPr>
                <w:rFonts w:ascii="宋体" w:hAnsi="宋体" w:cs="宋体"/>
                <w:kern w:val="0"/>
                <w:sz w:val="24"/>
                <w:szCs w:val="24"/>
                <w:highlight w:val="none"/>
              </w:rPr>
            </w:pPr>
            <w:r>
              <w:rPr>
                <w:rStyle w:val="33"/>
                <w:rFonts w:hint="eastAsia" w:ascii="宋体" w:hAnsi="宋体" w:cs="宋体"/>
                <w:sz w:val="24"/>
                <w:szCs w:val="24"/>
                <w:highlight w:val="none"/>
              </w:rPr>
              <w:t>3</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25E8FD1A">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lang w:val="en-US"/>
              </w:rPr>
              <w:t>工</w:t>
            </w:r>
            <w:r>
              <w:rPr>
                <w:rStyle w:val="33"/>
                <w:rFonts w:hint="eastAsia" w:ascii="宋体" w:hAnsi="宋体" w:cs="宋体"/>
                <w:sz w:val="24"/>
                <w:szCs w:val="24"/>
                <w:highlight w:val="none"/>
              </w:rPr>
              <w:t>期</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03D908C5">
            <w:pPr>
              <w:spacing w:line="440" w:lineRule="exact"/>
              <w:jc w:val="left"/>
              <w:rPr>
                <w:rStyle w:val="33"/>
                <w:rFonts w:ascii="宋体" w:hAnsi="宋体" w:cs="宋体"/>
                <w:sz w:val="24"/>
                <w:szCs w:val="24"/>
                <w:highlight w:val="none"/>
              </w:rPr>
            </w:pPr>
          </w:p>
        </w:tc>
      </w:tr>
      <w:tr w14:paraId="59FB1B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ign w:val="center"/>
          </w:tcPr>
          <w:p w14:paraId="5DBB5839">
            <w:pPr>
              <w:spacing w:line="440" w:lineRule="exact"/>
              <w:jc w:val="center"/>
              <w:rPr>
                <w:rFonts w:ascii="宋体" w:hAnsi="宋体" w:cs="宋体"/>
                <w:kern w:val="0"/>
                <w:sz w:val="24"/>
                <w:szCs w:val="24"/>
                <w:highlight w:val="none"/>
              </w:rPr>
            </w:pPr>
            <w:r>
              <w:rPr>
                <w:rStyle w:val="33"/>
                <w:rFonts w:hint="eastAsia" w:ascii="宋体" w:hAnsi="宋体" w:cs="宋体"/>
                <w:sz w:val="24"/>
                <w:szCs w:val="24"/>
                <w:highlight w:val="none"/>
              </w:rPr>
              <w:t>4</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41FB14EE">
            <w:pPr>
              <w:spacing w:line="440" w:lineRule="exact"/>
              <w:jc w:val="center"/>
              <w:rPr>
                <w:rStyle w:val="33"/>
                <w:rFonts w:ascii="宋体" w:hAnsi="宋体" w:cs="宋体"/>
                <w:sz w:val="24"/>
                <w:szCs w:val="24"/>
                <w:highlight w:val="none"/>
              </w:rPr>
            </w:pPr>
            <w:r>
              <w:rPr>
                <w:rStyle w:val="33"/>
                <w:rFonts w:hint="eastAsia" w:ascii="宋体" w:hAnsi="宋体" w:cs="宋体"/>
                <w:sz w:val="24"/>
                <w:szCs w:val="24"/>
                <w:highlight w:val="none"/>
              </w:rPr>
              <w:t>质量要求</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1E37ADD3">
            <w:pPr>
              <w:spacing w:line="440" w:lineRule="exact"/>
              <w:jc w:val="left"/>
              <w:rPr>
                <w:rStyle w:val="33"/>
                <w:rFonts w:ascii="宋体" w:hAnsi="宋体" w:cs="宋体"/>
                <w:sz w:val="24"/>
                <w:szCs w:val="24"/>
                <w:highlight w:val="none"/>
              </w:rPr>
            </w:pPr>
          </w:p>
        </w:tc>
      </w:tr>
      <w:tr w14:paraId="0675B4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ign w:val="center"/>
          </w:tcPr>
          <w:p w14:paraId="52248D19">
            <w:pPr>
              <w:spacing w:line="440" w:lineRule="exact"/>
              <w:jc w:val="center"/>
              <w:rPr>
                <w:rFonts w:ascii="宋体" w:hAnsi="宋体" w:cs="宋体"/>
                <w:kern w:val="0"/>
                <w:sz w:val="24"/>
                <w:szCs w:val="24"/>
                <w:highlight w:val="none"/>
              </w:rPr>
            </w:pPr>
            <w:r>
              <w:rPr>
                <w:rStyle w:val="33"/>
                <w:rFonts w:hint="eastAsia" w:ascii="宋体" w:hAnsi="宋体" w:cs="宋体"/>
                <w:sz w:val="24"/>
                <w:szCs w:val="24"/>
                <w:highlight w:val="none"/>
              </w:rPr>
              <w:t>5</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6DB136D0">
            <w:pPr>
              <w:spacing w:line="440" w:lineRule="exact"/>
              <w:jc w:val="center"/>
              <w:rPr>
                <w:rStyle w:val="33"/>
                <w:rFonts w:ascii="宋体" w:hAnsi="宋体" w:cs="宋体"/>
                <w:kern w:val="0"/>
                <w:sz w:val="24"/>
                <w:szCs w:val="24"/>
                <w:highlight w:val="none"/>
              </w:rPr>
            </w:pPr>
            <w:r>
              <w:rPr>
                <w:rStyle w:val="33"/>
                <w:rFonts w:hint="eastAsia" w:ascii="宋体" w:hAnsi="宋体" w:cs="宋体"/>
                <w:sz w:val="24"/>
                <w:szCs w:val="24"/>
                <w:highlight w:val="none"/>
              </w:rPr>
              <w:t>质保期</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449CF1C6">
            <w:pPr>
              <w:spacing w:line="440" w:lineRule="exact"/>
              <w:jc w:val="center"/>
              <w:rPr>
                <w:rStyle w:val="33"/>
                <w:rFonts w:ascii="宋体" w:hAnsi="宋体" w:cs="宋体"/>
                <w:sz w:val="24"/>
                <w:szCs w:val="24"/>
                <w:highlight w:val="none"/>
              </w:rPr>
            </w:pPr>
          </w:p>
        </w:tc>
      </w:tr>
      <w:tr w14:paraId="6F9846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ign w:val="center"/>
          </w:tcPr>
          <w:p w14:paraId="6B63C4C3">
            <w:pPr>
              <w:spacing w:line="440" w:lineRule="exact"/>
              <w:jc w:val="center"/>
              <w:rPr>
                <w:rFonts w:ascii="宋体" w:hAnsi="宋体" w:cs="宋体"/>
                <w:sz w:val="24"/>
                <w:szCs w:val="24"/>
                <w:highlight w:val="none"/>
              </w:rPr>
            </w:pPr>
            <w:r>
              <w:rPr>
                <w:rStyle w:val="33"/>
                <w:rFonts w:hint="eastAsia" w:ascii="宋体" w:hAnsi="宋体" w:cs="宋体"/>
                <w:sz w:val="24"/>
                <w:szCs w:val="24"/>
                <w:highlight w:val="none"/>
              </w:rPr>
              <w:t>6</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2B1D2B2A">
            <w:pPr>
              <w:spacing w:line="440" w:lineRule="exact"/>
              <w:jc w:val="center"/>
              <w:rPr>
                <w:rStyle w:val="33"/>
                <w:rFonts w:ascii="宋体" w:hAnsi="宋体" w:cs="宋体"/>
                <w:kern w:val="0"/>
                <w:sz w:val="24"/>
                <w:szCs w:val="24"/>
                <w:highlight w:val="none"/>
              </w:rPr>
            </w:pPr>
            <w:r>
              <w:rPr>
                <w:rStyle w:val="33"/>
                <w:rFonts w:hint="eastAsia" w:ascii="宋体" w:hAnsi="宋体" w:cs="宋体"/>
                <w:kern w:val="0"/>
                <w:sz w:val="24"/>
                <w:szCs w:val="24"/>
                <w:highlight w:val="none"/>
              </w:rPr>
              <w:t>投标有效期</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0A2F0C4A">
            <w:pPr>
              <w:spacing w:line="440" w:lineRule="exact"/>
              <w:jc w:val="center"/>
              <w:rPr>
                <w:rStyle w:val="33"/>
                <w:rFonts w:ascii="宋体" w:hAnsi="宋体" w:cs="宋体"/>
                <w:sz w:val="24"/>
                <w:szCs w:val="24"/>
                <w:highlight w:val="none"/>
              </w:rPr>
            </w:pPr>
          </w:p>
        </w:tc>
      </w:tr>
      <w:tr w14:paraId="202773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ign w:val="center"/>
          </w:tcPr>
          <w:p w14:paraId="44442C05">
            <w:pPr>
              <w:spacing w:line="440" w:lineRule="exact"/>
              <w:jc w:val="center"/>
              <w:rPr>
                <w:rStyle w:val="33"/>
                <w:rFonts w:ascii="宋体" w:hAnsi="宋体" w:cs="宋体"/>
                <w:sz w:val="24"/>
                <w:szCs w:val="24"/>
                <w:highlight w:val="none"/>
              </w:rPr>
            </w:pPr>
            <w:r>
              <w:rPr>
                <w:rStyle w:val="33"/>
                <w:rFonts w:hint="eastAsia" w:ascii="宋体" w:hAnsi="宋体" w:cs="宋体"/>
                <w:sz w:val="24"/>
                <w:szCs w:val="24"/>
                <w:highlight w:val="none"/>
              </w:rPr>
              <w:t>7</w:t>
            </w:r>
          </w:p>
        </w:tc>
        <w:tc>
          <w:tcPr>
            <w:tcW w:w="1936" w:type="dxa"/>
            <w:tcBorders>
              <w:top w:val="single" w:color="000000" w:sz="6" w:space="0"/>
              <w:left w:val="single" w:color="000000" w:sz="4" w:space="0"/>
              <w:bottom w:val="single" w:color="000000" w:sz="6" w:space="0"/>
              <w:right w:val="single" w:color="000000" w:sz="6" w:space="0"/>
            </w:tcBorders>
            <w:noWrap/>
            <w:vAlign w:val="center"/>
          </w:tcPr>
          <w:p w14:paraId="1B0EF39B">
            <w:pPr>
              <w:spacing w:line="440" w:lineRule="exact"/>
              <w:jc w:val="center"/>
              <w:rPr>
                <w:rStyle w:val="33"/>
                <w:rFonts w:ascii="宋体" w:hAnsi="宋体" w:cs="宋体"/>
                <w:sz w:val="24"/>
                <w:szCs w:val="24"/>
                <w:highlight w:val="none"/>
              </w:rPr>
            </w:pPr>
            <w:r>
              <w:rPr>
                <w:rStyle w:val="33"/>
                <w:rFonts w:hint="eastAsia" w:ascii="宋体" w:hAnsi="宋体" w:cs="宋体"/>
                <w:sz w:val="24"/>
                <w:szCs w:val="24"/>
                <w:highlight w:val="none"/>
              </w:rPr>
              <w:t>负责人姓名、联系电话、邮箱</w:t>
            </w:r>
          </w:p>
        </w:tc>
        <w:tc>
          <w:tcPr>
            <w:tcW w:w="5961" w:type="dxa"/>
            <w:tcBorders>
              <w:top w:val="single" w:color="000000" w:sz="6" w:space="0"/>
              <w:left w:val="single" w:color="000000" w:sz="6" w:space="0"/>
              <w:bottom w:val="single" w:color="000000" w:sz="6" w:space="0"/>
              <w:right w:val="single" w:color="000000" w:sz="12" w:space="0"/>
            </w:tcBorders>
            <w:noWrap/>
            <w:vAlign w:val="center"/>
          </w:tcPr>
          <w:p w14:paraId="7F6C2E26">
            <w:pPr>
              <w:spacing w:line="440" w:lineRule="exact"/>
              <w:jc w:val="center"/>
              <w:rPr>
                <w:rStyle w:val="33"/>
                <w:rFonts w:ascii="宋体" w:hAnsi="宋体" w:cs="宋体"/>
                <w:sz w:val="24"/>
                <w:szCs w:val="24"/>
                <w:highlight w:val="none"/>
              </w:rPr>
            </w:pPr>
          </w:p>
        </w:tc>
      </w:tr>
      <w:tr w14:paraId="2D988A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67" w:hRule="atLeast"/>
          <w:jc w:val="center"/>
        </w:trPr>
        <w:tc>
          <w:tcPr>
            <w:tcW w:w="8679" w:type="dxa"/>
            <w:gridSpan w:val="3"/>
            <w:tcBorders>
              <w:top w:val="single" w:color="000000" w:sz="6" w:space="0"/>
              <w:left w:val="single" w:color="000000" w:sz="12" w:space="0"/>
              <w:bottom w:val="single" w:color="000000" w:sz="12" w:space="0"/>
              <w:right w:val="single" w:color="000000" w:sz="12" w:space="0"/>
            </w:tcBorders>
            <w:noWrap/>
            <w:vAlign w:val="center"/>
          </w:tcPr>
          <w:p w14:paraId="22B0AB1D">
            <w:pPr>
              <w:spacing w:line="440" w:lineRule="exact"/>
              <w:rPr>
                <w:rStyle w:val="33"/>
                <w:rFonts w:ascii="宋体" w:hAnsi="宋体" w:cs="宋体"/>
                <w:sz w:val="24"/>
                <w:szCs w:val="24"/>
                <w:highlight w:val="none"/>
              </w:rPr>
            </w:pPr>
            <w:r>
              <w:rPr>
                <w:rStyle w:val="33"/>
                <w:rFonts w:hint="eastAsia" w:ascii="宋体" w:hAnsi="宋体" w:cs="宋体"/>
                <w:sz w:val="24"/>
                <w:szCs w:val="24"/>
                <w:highlight w:val="none"/>
              </w:rPr>
              <w:t>其他需要说明的问题：</w:t>
            </w:r>
          </w:p>
        </w:tc>
      </w:tr>
    </w:tbl>
    <w:p w14:paraId="5B075E91">
      <w:pPr>
        <w:spacing w:before="312"/>
        <w:jc w:val="right"/>
        <w:rPr>
          <w:rStyle w:val="33"/>
          <w:rFonts w:ascii="宋体" w:hAnsi="宋体" w:cs="宋体"/>
          <w:sz w:val="24"/>
          <w:highlight w:val="none"/>
        </w:rPr>
      </w:pPr>
    </w:p>
    <w:p w14:paraId="17A4C76E">
      <w:pPr>
        <w:spacing w:before="312"/>
        <w:jc w:val="right"/>
        <w:rPr>
          <w:rStyle w:val="33"/>
          <w:rFonts w:ascii="宋体" w:hAnsi="宋体" w:cs="宋体"/>
          <w:sz w:val="24"/>
          <w:highlight w:val="none"/>
        </w:rPr>
      </w:pPr>
      <w:r>
        <w:rPr>
          <w:rStyle w:val="33"/>
          <w:rFonts w:hint="eastAsia" w:ascii="宋体" w:hAnsi="宋体" w:cs="宋体"/>
          <w:sz w:val="24"/>
          <w:highlight w:val="none"/>
        </w:rPr>
        <w:t xml:space="preserve">  供应商：（电子印章） </w:t>
      </w:r>
    </w:p>
    <w:p w14:paraId="3DB52808">
      <w:pPr>
        <w:jc w:val="center"/>
        <w:rPr>
          <w:rStyle w:val="33"/>
          <w:rFonts w:ascii="宋体" w:hAnsi="宋体" w:cs="宋体"/>
          <w:sz w:val="24"/>
          <w:highlight w:val="none"/>
        </w:rPr>
      </w:pPr>
    </w:p>
    <w:p w14:paraId="6199D15F">
      <w:pPr>
        <w:jc w:val="center"/>
        <w:rPr>
          <w:rStyle w:val="33"/>
          <w:rFonts w:ascii="宋体" w:hAnsi="宋体" w:cs="宋体"/>
          <w:sz w:val="24"/>
          <w:highlight w:val="none"/>
        </w:rPr>
      </w:pPr>
    </w:p>
    <w:p w14:paraId="7423502B">
      <w:pPr>
        <w:jc w:val="right"/>
        <w:rPr>
          <w:rStyle w:val="33"/>
          <w:rFonts w:ascii="宋体" w:hAnsi="宋体" w:cs="宋体"/>
          <w:sz w:val="24"/>
          <w:highlight w:val="none"/>
          <w:u w:val="single"/>
        </w:rPr>
      </w:pPr>
      <w:r>
        <w:rPr>
          <w:rStyle w:val="33"/>
          <w:rFonts w:hint="eastAsia" w:ascii="宋体" w:hAnsi="宋体" w:cs="宋体"/>
          <w:sz w:val="24"/>
          <w:highlight w:val="none"/>
        </w:rPr>
        <w:t xml:space="preserve">      法定代表人（负责人）：（电子签章或电子签名）</w:t>
      </w:r>
    </w:p>
    <w:p w14:paraId="32A86C72">
      <w:pPr>
        <w:jc w:val="center"/>
        <w:rPr>
          <w:rStyle w:val="33"/>
          <w:rFonts w:ascii="宋体" w:hAnsi="宋体" w:cs="宋体"/>
          <w:sz w:val="24"/>
          <w:highlight w:val="none"/>
          <w:u w:val="single"/>
        </w:rPr>
      </w:pPr>
    </w:p>
    <w:p w14:paraId="3402BFC8">
      <w:pPr>
        <w:jc w:val="center"/>
        <w:rPr>
          <w:rStyle w:val="33"/>
          <w:rFonts w:ascii="宋体" w:hAnsi="宋体" w:cs="宋体"/>
          <w:sz w:val="24"/>
          <w:highlight w:val="none"/>
          <w:u w:val="single"/>
        </w:rPr>
      </w:pPr>
    </w:p>
    <w:p w14:paraId="25C99DF0">
      <w:pPr>
        <w:jc w:val="right"/>
        <w:rPr>
          <w:rStyle w:val="33"/>
          <w:rFonts w:ascii="宋体" w:hAnsi="宋体" w:cs="宋体"/>
          <w:sz w:val="24"/>
          <w:highlight w:val="none"/>
        </w:rPr>
      </w:pPr>
      <w:r>
        <w:rPr>
          <w:rStyle w:val="33"/>
          <w:rFonts w:hint="eastAsia" w:ascii="宋体" w:hAnsi="宋体" w:cs="宋体"/>
          <w:sz w:val="24"/>
          <w:highlight w:val="none"/>
        </w:rPr>
        <w:t xml:space="preserve">                   日期：年月日 </w:t>
      </w:r>
    </w:p>
    <w:p w14:paraId="642BD7F5">
      <w:pPr>
        <w:pStyle w:val="41"/>
        <w:snapToGrid w:val="0"/>
        <w:spacing w:before="100" w:after="100" w:line="240" w:lineRule="auto"/>
        <w:rPr>
          <w:rFonts w:ascii="宋体" w:hAnsi="宋体" w:eastAsia="宋体" w:cs="宋体"/>
          <w:color w:val="auto"/>
          <w:sz w:val="36"/>
          <w:szCs w:val="28"/>
          <w:highlight w:val="none"/>
        </w:rPr>
      </w:pPr>
      <w:r>
        <w:rPr>
          <w:rStyle w:val="33"/>
          <w:rFonts w:hint="eastAsia" w:ascii="宋体" w:hAnsi="宋体" w:eastAsia="宋体" w:cs="宋体"/>
          <w:color w:val="auto"/>
          <w:sz w:val="24"/>
          <w:szCs w:val="24"/>
          <w:highlight w:val="none"/>
        </w:rPr>
        <w:br w:type="page"/>
      </w:r>
      <w:bookmarkStart w:id="46" w:name="_Toc17861"/>
      <w:r>
        <w:rPr>
          <w:rFonts w:hint="eastAsia" w:ascii="宋体" w:hAnsi="宋体" w:eastAsia="宋体" w:cs="宋体"/>
          <w:color w:val="auto"/>
          <w:sz w:val="36"/>
          <w:szCs w:val="28"/>
          <w:highlight w:val="none"/>
        </w:rPr>
        <w:t>二、</w:t>
      </w:r>
      <w:bookmarkEnd w:id="46"/>
      <w:r>
        <w:rPr>
          <w:rFonts w:hint="eastAsia" w:ascii="宋体" w:hAnsi="宋体" w:eastAsia="宋体" w:cs="宋体"/>
          <w:color w:val="auto"/>
          <w:sz w:val="36"/>
          <w:szCs w:val="28"/>
          <w:highlight w:val="none"/>
        </w:rPr>
        <w:t>法定代表人（负责人）身份证明</w:t>
      </w:r>
    </w:p>
    <w:p w14:paraId="771E6A46">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供应商名称：</w:t>
      </w:r>
    </w:p>
    <w:p w14:paraId="3D3EBA08">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单位性质：</w:t>
      </w:r>
    </w:p>
    <w:p w14:paraId="7B79B4CD">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地址：</w:t>
      </w:r>
    </w:p>
    <w:p w14:paraId="6DE205BE">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成立时间： 年 月 日</w:t>
      </w:r>
    </w:p>
    <w:p w14:paraId="4BA2A9C5">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经营期限：</w:t>
      </w:r>
    </w:p>
    <w:p w14:paraId="1C2EE84B">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姓名： 性别： 年龄：职务：</w:t>
      </w:r>
    </w:p>
    <w:p w14:paraId="31AFE55A">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系 （供应商名称）的法定代表人（负责人）。</w:t>
      </w:r>
    </w:p>
    <w:p w14:paraId="20416728">
      <w:pPr>
        <w:spacing w:line="5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特此证明。</w:t>
      </w:r>
    </w:p>
    <w:p w14:paraId="16751B95">
      <w:pPr>
        <w:spacing w:line="5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附：法定代表人（负责人）身份证复印件</w:t>
      </w:r>
    </w:p>
    <w:p w14:paraId="78119B8F">
      <w:pPr>
        <w:spacing w:line="440" w:lineRule="exact"/>
        <w:rPr>
          <w:rFonts w:ascii="宋体" w:hAnsi="宋体" w:cs="宋体"/>
          <w:kern w:val="0"/>
          <w:sz w:val="28"/>
          <w:szCs w:val="28"/>
          <w:highlight w:val="none"/>
        </w:rPr>
      </w:pPr>
    </w:p>
    <w:p w14:paraId="064CE67F">
      <w:pPr>
        <w:spacing w:line="440" w:lineRule="exact"/>
        <w:rPr>
          <w:rFonts w:ascii="宋体" w:hAnsi="宋体" w:cs="宋体"/>
          <w:kern w:val="0"/>
          <w:sz w:val="28"/>
          <w:szCs w:val="28"/>
          <w:highlight w:val="none"/>
        </w:rPr>
      </w:pPr>
    </w:p>
    <w:p w14:paraId="546C749C">
      <w:pPr>
        <w:spacing w:line="440" w:lineRule="exact"/>
        <w:rPr>
          <w:rFonts w:ascii="宋体" w:hAnsi="宋体" w:cs="宋体"/>
          <w:kern w:val="0"/>
          <w:sz w:val="28"/>
          <w:szCs w:val="28"/>
          <w:highlight w:val="none"/>
        </w:rPr>
      </w:pPr>
    </w:p>
    <w:p w14:paraId="3E3C0A41">
      <w:pPr>
        <w:spacing w:line="440" w:lineRule="exact"/>
        <w:rPr>
          <w:rFonts w:ascii="宋体" w:hAnsi="宋体" w:cs="宋体"/>
          <w:kern w:val="0"/>
          <w:sz w:val="28"/>
          <w:szCs w:val="28"/>
          <w:highlight w:val="none"/>
        </w:rPr>
      </w:pPr>
    </w:p>
    <w:p w14:paraId="2728BC34">
      <w:pPr>
        <w:spacing w:line="440" w:lineRule="exact"/>
        <w:rPr>
          <w:rFonts w:ascii="宋体" w:hAnsi="宋体" w:cs="宋体"/>
          <w:kern w:val="0"/>
          <w:sz w:val="28"/>
          <w:szCs w:val="28"/>
          <w:highlight w:val="none"/>
        </w:rPr>
      </w:pPr>
    </w:p>
    <w:p w14:paraId="72241BD3">
      <w:pPr>
        <w:spacing w:line="440" w:lineRule="exact"/>
        <w:rPr>
          <w:rFonts w:ascii="宋体" w:hAnsi="宋体" w:cs="宋体"/>
          <w:kern w:val="0"/>
          <w:sz w:val="28"/>
          <w:szCs w:val="28"/>
          <w:highlight w:val="none"/>
        </w:rPr>
      </w:pPr>
    </w:p>
    <w:p w14:paraId="6854698D">
      <w:pPr>
        <w:spacing w:line="440" w:lineRule="exact"/>
        <w:rPr>
          <w:rFonts w:ascii="宋体" w:hAnsi="宋体" w:cs="宋体"/>
          <w:kern w:val="0"/>
          <w:sz w:val="28"/>
          <w:szCs w:val="28"/>
          <w:highlight w:val="none"/>
        </w:rPr>
      </w:pPr>
    </w:p>
    <w:p w14:paraId="52FC8FAE">
      <w:pPr>
        <w:spacing w:line="480" w:lineRule="auto"/>
        <w:ind w:firstLine="480" w:firstLineChars="200"/>
        <w:jc w:val="right"/>
        <w:rPr>
          <w:rFonts w:ascii="宋体" w:hAnsi="宋体" w:cs="宋体"/>
          <w:kern w:val="0"/>
          <w:sz w:val="24"/>
          <w:szCs w:val="24"/>
          <w:highlight w:val="none"/>
        </w:rPr>
      </w:pPr>
      <w:r>
        <w:rPr>
          <w:rFonts w:hint="eastAsia" w:ascii="宋体" w:hAnsi="宋体" w:cs="宋体"/>
          <w:kern w:val="0"/>
          <w:sz w:val="24"/>
          <w:szCs w:val="24"/>
          <w:highlight w:val="none"/>
        </w:rPr>
        <w:t xml:space="preserve">供应商：（电子签章）                  </w:t>
      </w:r>
    </w:p>
    <w:p w14:paraId="156E1155">
      <w:pPr>
        <w:spacing w:line="440" w:lineRule="exact"/>
        <w:jc w:val="right"/>
        <w:rPr>
          <w:rFonts w:ascii="宋体" w:hAnsi="宋体" w:cs="宋体"/>
          <w:kern w:val="0"/>
          <w:sz w:val="24"/>
          <w:szCs w:val="24"/>
          <w:highlight w:val="none"/>
        </w:rPr>
      </w:pPr>
      <w:r>
        <w:rPr>
          <w:rFonts w:hint="eastAsia" w:ascii="宋体" w:hAnsi="宋体" w:cs="宋体"/>
          <w:kern w:val="0"/>
          <w:sz w:val="24"/>
          <w:szCs w:val="24"/>
          <w:highlight w:val="none"/>
        </w:rPr>
        <w:t>日期：年 月</w:t>
      </w:r>
      <w:r>
        <w:rPr>
          <w:rFonts w:hint="eastAsia" w:ascii="宋体" w:hAnsi="宋体" w:cs="宋体"/>
          <w:kern w:val="0"/>
          <w:sz w:val="24"/>
          <w:szCs w:val="24"/>
          <w:highlight w:val="none"/>
          <w:lang w:val="en-US" w:eastAsia="zh-CN"/>
        </w:rPr>
        <w:t xml:space="preserve"> </w:t>
      </w:r>
      <w:r>
        <w:rPr>
          <w:rFonts w:hint="eastAsia" w:ascii="宋体" w:hAnsi="宋体" w:cs="宋体"/>
          <w:kern w:val="0"/>
          <w:sz w:val="24"/>
          <w:szCs w:val="24"/>
          <w:highlight w:val="none"/>
        </w:rPr>
        <w:t>日</w:t>
      </w:r>
    </w:p>
    <w:p w14:paraId="171036CD">
      <w:pPr>
        <w:spacing w:line="440" w:lineRule="exact"/>
        <w:rPr>
          <w:rFonts w:ascii="宋体" w:hAnsi="宋体" w:cs="宋体"/>
          <w:kern w:val="0"/>
          <w:sz w:val="20"/>
          <w:szCs w:val="20"/>
          <w:highlight w:val="none"/>
        </w:rPr>
      </w:pPr>
    </w:p>
    <w:p w14:paraId="4A283A91">
      <w:pPr>
        <w:jc w:val="right"/>
        <w:rPr>
          <w:rStyle w:val="33"/>
          <w:rFonts w:ascii="宋体" w:hAnsi="宋体" w:cs="宋体"/>
          <w:sz w:val="24"/>
          <w:highlight w:val="none"/>
        </w:rPr>
      </w:pPr>
    </w:p>
    <w:p w14:paraId="1D5ADE7C">
      <w:pPr>
        <w:spacing w:line="440" w:lineRule="exact"/>
        <w:jc w:val="right"/>
        <w:rPr>
          <w:rStyle w:val="33"/>
          <w:rFonts w:ascii="宋体" w:hAnsi="宋体" w:cs="宋体"/>
          <w:sz w:val="24"/>
          <w:highlight w:val="none"/>
        </w:rPr>
      </w:pPr>
    </w:p>
    <w:p w14:paraId="77DC7710">
      <w:pPr>
        <w:spacing w:line="440" w:lineRule="exact"/>
        <w:jc w:val="center"/>
        <w:rPr>
          <w:rStyle w:val="33"/>
          <w:rFonts w:ascii="宋体" w:hAnsi="宋体" w:cs="宋体"/>
          <w:b/>
          <w:sz w:val="24"/>
          <w:highlight w:val="none"/>
        </w:rPr>
      </w:pPr>
    </w:p>
    <w:p w14:paraId="5145CD8C">
      <w:pPr>
        <w:spacing w:line="440" w:lineRule="exact"/>
        <w:jc w:val="center"/>
        <w:rPr>
          <w:rStyle w:val="33"/>
          <w:rFonts w:ascii="宋体" w:hAnsi="宋体" w:cs="宋体"/>
          <w:b/>
          <w:sz w:val="24"/>
          <w:highlight w:val="none"/>
        </w:rPr>
      </w:pPr>
    </w:p>
    <w:p w14:paraId="1EB1AF7A">
      <w:pPr>
        <w:jc w:val="center"/>
        <w:rPr>
          <w:rStyle w:val="33"/>
          <w:rFonts w:ascii="宋体" w:hAnsi="宋体" w:cs="宋体"/>
          <w:b/>
          <w:sz w:val="20"/>
          <w:szCs w:val="21"/>
          <w:highlight w:val="none"/>
        </w:rPr>
      </w:pPr>
    </w:p>
    <w:p w14:paraId="21C5F753">
      <w:pPr>
        <w:rPr>
          <w:rStyle w:val="33"/>
          <w:rFonts w:ascii="宋体" w:hAnsi="宋体" w:cs="宋体"/>
          <w:b/>
          <w:sz w:val="32"/>
          <w:szCs w:val="32"/>
          <w:highlight w:val="none"/>
        </w:rPr>
      </w:pPr>
    </w:p>
    <w:p w14:paraId="3B9805ED">
      <w:pPr>
        <w:ind w:left="840" w:leftChars="200" w:hanging="420" w:hangingChars="200"/>
        <w:contextualSpacing/>
        <w:rPr>
          <w:rStyle w:val="33"/>
          <w:rFonts w:ascii="宋体" w:hAnsi="宋体" w:cs="宋体"/>
          <w:highlight w:val="none"/>
        </w:rPr>
      </w:pPr>
    </w:p>
    <w:p w14:paraId="5201A4A0">
      <w:pPr>
        <w:ind w:left="840" w:leftChars="200" w:hanging="420" w:hangingChars="200"/>
        <w:contextualSpacing/>
        <w:rPr>
          <w:rStyle w:val="33"/>
          <w:rFonts w:ascii="宋体" w:hAnsi="宋体" w:cs="宋体"/>
          <w:highlight w:val="none"/>
        </w:rPr>
      </w:pPr>
    </w:p>
    <w:p w14:paraId="22831308">
      <w:pPr>
        <w:rPr>
          <w:rStyle w:val="33"/>
          <w:rFonts w:ascii="宋体" w:hAnsi="宋体" w:cs="宋体"/>
          <w:b/>
          <w:sz w:val="24"/>
          <w:highlight w:val="none"/>
        </w:rPr>
      </w:pPr>
    </w:p>
    <w:p w14:paraId="39F5DE39">
      <w:pPr>
        <w:keepNext/>
        <w:keepLines/>
        <w:spacing w:before="260" w:after="260" w:line="416" w:lineRule="auto"/>
        <w:jc w:val="center"/>
        <w:rPr>
          <w:rFonts w:ascii="宋体" w:hAnsi="宋体" w:cs="宋体"/>
          <w:b/>
          <w:bCs/>
          <w:sz w:val="36"/>
          <w:szCs w:val="28"/>
          <w:highlight w:val="none"/>
        </w:rPr>
      </w:pPr>
      <w:r>
        <w:rPr>
          <w:rFonts w:hint="eastAsia" w:ascii="宋体" w:hAnsi="宋体" w:cs="宋体"/>
          <w:b/>
          <w:bCs/>
          <w:sz w:val="36"/>
          <w:szCs w:val="28"/>
          <w:highlight w:val="none"/>
        </w:rPr>
        <w:t>三、授权委托书</w:t>
      </w:r>
    </w:p>
    <w:p w14:paraId="538A4A61">
      <w:pPr>
        <w:topLinePunct/>
        <w:spacing w:line="5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本人（姓名）</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系（供应商名称）</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的法定代表人</w:t>
      </w:r>
      <w:r>
        <w:rPr>
          <w:rFonts w:hint="eastAsia" w:ascii="宋体" w:hAnsi="宋体" w:cs="宋体"/>
          <w:spacing w:val="2"/>
          <w:sz w:val="24"/>
          <w:szCs w:val="24"/>
          <w:highlight w:val="none"/>
        </w:rPr>
        <w:t>（负责人</w:t>
      </w:r>
      <w:r>
        <w:rPr>
          <w:rFonts w:hint="eastAsia" w:ascii="宋体" w:hAnsi="宋体" w:cs="宋体"/>
          <w:spacing w:val="-62"/>
          <w:sz w:val="24"/>
          <w:szCs w:val="24"/>
          <w:highlight w:val="none"/>
        </w:rPr>
        <w:t>）</w:t>
      </w:r>
      <w:r>
        <w:rPr>
          <w:rFonts w:hint="eastAsia" w:ascii="宋体" w:hAnsi="宋体" w:cs="宋体"/>
          <w:spacing w:val="-62"/>
          <w:sz w:val="24"/>
          <w:szCs w:val="24"/>
          <w:highlight w:val="none"/>
          <w:lang w:val="en-US" w:eastAsia="zh-CN"/>
        </w:rPr>
        <w:t xml:space="preserve">                 </w:t>
      </w:r>
      <w:r>
        <w:rPr>
          <w:rFonts w:hint="eastAsia" w:ascii="宋体" w:hAnsi="宋体" w:cs="宋体"/>
          <w:kern w:val="0"/>
          <w:sz w:val="24"/>
          <w:szCs w:val="24"/>
          <w:highlight w:val="none"/>
        </w:rPr>
        <w:t>，现委托（姓名、联系方式）</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为我方代理人。代理人根据授权，以我方名义签署、澄清、说明、补正、递交、撤回、修改</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（项目名称）响应文件、签订合同和处理有关事宜，其法律后果由我方承担。</w:t>
      </w:r>
    </w:p>
    <w:p w14:paraId="4039540A">
      <w:pPr>
        <w:spacing w:line="560" w:lineRule="exact"/>
        <w:rPr>
          <w:rFonts w:ascii="宋体" w:hAnsi="宋体" w:cs="宋体"/>
          <w:kern w:val="0"/>
          <w:sz w:val="24"/>
          <w:szCs w:val="24"/>
          <w:highlight w:val="none"/>
        </w:rPr>
      </w:pPr>
      <w:r>
        <w:rPr>
          <w:rFonts w:hint="eastAsia" w:ascii="宋体" w:hAnsi="宋体" w:cs="宋体"/>
          <w:kern w:val="0"/>
          <w:sz w:val="24"/>
          <w:szCs w:val="24"/>
          <w:highlight w:val="none"/>
        </w:rPr>
        <w:t xml:space="preserve">    委托期限：</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w:t>
      </w:r>
    </w:p>
    <w:p w14:paraId="7A8B4B2C">
      <w:pPr>
        <w:spacing w:line="5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代理人无转委托权。</w:t>
      </w:r>
    </w:p>
    <w:p w14:paraId="2C7F7A3D">
      <w:pPr>
        <w:spacing w:line="5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附：法定代表人（负责人）身份证及被授权人身份证复印件</w:t>
      </w:r>
    </w:p>
    <w:p w14:paraId="02D25532">
      <w:pPr>
        <w:spacing w:line="440" w:lineRule="exact"/>
        <w:rPr>
          <w:rFonts w:ascii="宋体" w:hAnsi="宋体" w:cs="宋体"/>
          <w:kern w:val="0"/>
          <w:sz w:val="24"/>
          <w:szCs w:val="24"/>
          <w:highlight w:val="none"/>
        </w:rPr>
      </w:pPr>
    </w:p>
    <w:p w14:paraId="2D19DAC7">
      <w:pPr>
        <w:spacing w:line="440" w:lineRule="exact"/>
        <w:rPr>
          <w:rFonts w:ascii="宋体" w:hAnsi="宋体" w:cs="宋体"/>
          <w:kern w:val="0"/>
          <w:sz w:val="24"/>
          <w:szCs w:val="24"/>
          <w:highlight w:val="none"/>
        </w:rPr>
      </w:pPr>
    </w:p>
    <w:p w14:paraId="2642A4FB">
      <w:pPr>
        <w:spacing w:line="440" w:lineRule="exact"/>
        <w:rPr>
          <w:rFonts w:ascii="宋体" w:hAnsi="宋体" w:cs="宋体"/>
          <w:kern w:val="0"/>
          <w:sz w:val="24"/>
          <w:szCs w:val="24"/>
          <w:highlight w:val="none"/>
        </w:rPr>
      </w:pPr>
    </w:p>
    <w:p w14:paraId="5623EE99">
      <w:pPr>
        <w:spacing w:line="440" w:lineRule="exact"/>
        <w:rPr>
          <w:rFonts w:ascii="宋体" w:hAnsi="宋体" w:cs="宋体"/>
          <w:kern w:val="0"/>
          <w:sz w:val="24"/>
          <w:szCs w:val="24"/>
          <w:highlight w:val="none"/>
        </w:rPr>
      </w:pPr>
    </w:p>
    <w:p w14:paraId="58FA817D">
      <w:pPr>
        <w:spacing w:line="440" w:lineRule="exact"/>
        <w:rPr>
          <w:rFonts w:ascii="宋体" w:hAnsi="宋体" w:cs="宋体"/>
          <w:kern w:val="0"/>
          <w:sz w:val="24"/>
          <w:szCs w:val="24"/>
          <w:highlight w:val="none"/>
        </w:rPr>
      </w:pPr>
    </w:p>
    <w:p w14:paraId="1EB2C302">
      <w:pPr>
        <w:spacing w:line="440" w:lineRule="exact"/>
        <w:rPr>
          <w:rFonts w:ascii="宋体" w:hAnsi="宋体" w:cs="宋体"/>
          <w:kern w:val="0"/>
          <w:sz w:val="24"/>
          <w:szCs w:val="24"/>
          <w:highlight w:val="none"/>
        </w:rPr>
      </w:pPr>
    </w:p>
    <w:p w14:paraId="4AFD3C6E">
      <w:pPr>
        <w:spacing w:line="440" w:lineRule="exact"/>
        <w:rPr>
          <w:rFonts w:ascii="宋体" w:hAnsi="宋体" w:cs="宋体"/>
          <w:kern w:val="0"/>
          <w:sz w:val="24"/>
          <w:szCs w:val="24"/>
          <w:highlight w:val="none"/>
        </w:rPr>
      </w:pPr>
    </w:p>
    <w:p w14:paraId="1C396D02">
      <w:pPr>
        <w:spacing w:line="480" w:lineRule="auto"/>
        <w:ind w:firstLine="480" w:firstLineChars="200"/>
        <w:jc w:val="right"/>
        <w:rPr>
          <w:rFonts w:ascii="宋体" w:hAnsi="宋体" w:cs="宋体"/>
          <w:kern w:val="0"/>
          <w:sz w:val="24"/>
          <w:szCs w:val="24"/>
          <w:highlight w:val="none"/>
        </w:rPr>
      </w:pPr>
      <w:r>
        <w:rPr>
          <w:rFonts w:hint="eastAsia" w:ascii="宋体" w:hAnsi="宋体" w:cs="宋体"/>
          <w:kern w:val="0"/>
          <w:sz w:val="24"/>
          <w:szCs w:val="24"/>
          <w:highlight w:val="none"/>
        </w:rPr>
        <w:t>供应商：（电子签章）</w:t>
      </w:r>
    </w:p>
    <w:p w14:paraId="19D122BC">
      <w:pPr>
        <w:spacing w:line="480" w:lineRule="auto"/>
        <w:ind w:firstLine="480" w:firstLineChars="200"/>
        <w:jc w:val="right"/>
        <w:rPr>
          <w:rFonts w:ascii="宋体" w:hAnsi="宋体" w:cs="宋体"/>
          <w:kern w:val="0"/>
          <w:sz w:val="24"/>
          <w:szCs w:val="24"/>
          <w:highlight w:val="none"/>
          <w:u w:val="single"/>
        </w:rPr>
      </w:pPr>
      <w:r>
        <w:rPr>
          <w:rFonts w:hint="eastAsia" w:ascii="宋体" w:hAnsi="宋体" w:cs="宋体"/>
          <w:kern w:val="0"/>
          <w:sz w:val="24"/>
          <w:szCs w:val="24"/>
          <w:highlight w:val="none"/>
        </w:rPr>
        <w:t>法定代表人（负责人）：</w:t>
      </w:r>
      <w:r>
        <w:rPr>
          <w:rStyle w:val="33"/>
          <w:rFonts w:hint="eastAsia" w:ascii="宋体" w:hAnsi="宋体" w:cs="宋体"/>
          <w:sz w:val="24"/>
          <w:szCs w:val="24"/>
          <w:highlight w:val="none"/>
        </w:rPr>
        <w:t>（电子签章或电子签名）</w:t>
      </w:r>
    </w:p>
    <w:p w14:paraId="13E80CC9">
      <w:pPr>
        <w:spacing w:line="480" w:lineRule="auto"/>
        <w:ind w:firstLine="480" w:firstLineChars="200"/>
        <w:jc w:val="right"/>
        <w:rPr>
          <w:rFonts w:ascii="宋体" w:hAnsi="宋体" w:cs="宋体"/>
          <w:kern w:val="0"/>
          <w:sz w:val="24"/>
          <w:szCs w:val="24"/>
          <w:highlight w:val="none"/>
        </w:rPr>
      </w:pPr>
    </w:p>
    <w:p w14:paraId="57DC36CF">
      <w:pPr>
        <w:spacing w:line="400" w:lineRule="exact"/>
        <w:jc w:val="right"/>
        <w:rPr>
          <w:rFonts w:ascii="宋体" w:hAnsi="宋体" w:cs="宋体"/>
          <w:kern w:val="0"/>
          <w:sz w:val="28"/>
          <w:szCs w:val="28"/>
          <w:highlight w:val="none"/>
        </w:rPr>
      </w:pPr>
      <w:r>
        <w:rPr>
          <w:rFonts w:hint="eastAsia" w:ascii="宋体" w:hAnsi="宋体" w:cs="宋体"/>
          <w:kern w:val="0"/>
          <w:sz w:val="24"/>
          <w:szCs w:val="24"/>
          <w:highlight w:val="none"/>
        </w:rPr>
        <w:t>日期：年 月日</w:t>
      </w:r>
    </w:p>
    <w:p w14:paraId="2A24BB67">
      <w:pPr>
        <w:spacing w:line="400" w:lineRule="exact"/>
        <w:rPr>
          <w:rFonts w:ascii="宋体" w:hAnsi="宋体" w:cs="宋体"/>
          <w:kern w:val="0"/>
          <w:sz w:val="20"/>
          <w:szCs w:val="20"/>
          <w:highlight w:val="none"/>
        </w:rPr>
      </w:pPr>
    </w:p>
    <w:p w14:paraId="318E21B8">
      <w:pPr>
        <w:spacing w:line="360" w:lineRule="auto"/>
        <w:jc w:val="center"/>
        <w:rPr>
          <w:rStyle w:val="33"/>
          <w:rFonts w:ascii="宋体" w:hAnsi="宋体" w:cs="宋体"/>
          <w:sz w:val="20"/>
          <w:szCs w:val="21"/>
          <w:highlight w:val="none"/>
        </w:rPr>
      </w:pPr>
    </w:p>
    <w:p w14:paraId="5148C218">
      <w:pPr>
        <w:spacing w:line="360" w:lineRule="auto"/>
        <w:jc w:val="center"/>
        <w:rPr>
          <w:rStyle w:val="33"/>
          <w:rFonts w:ascii="宋体" w:hAnsi="宋体" w:cs="宋体"/>
          <w:sz w:val="20"/>
          <w:szCs w:val="21"/>
          <w:highlight w:val="none"/>
        </w:rPr>
      </w:pPr>
    </w:p>
    <w:p w14:paraId="46393649">
      <w:pPr>
        <w:spacing w:before="100" w:line="223" w:lineRule="auto"/>
        <w:jc w:val="center"/>
        <w:outlineLvl w:val="1"/>
        <w:rPr>
          <w:rFonts w:ascii="宋体" w:hAnsi="宋体" w:cs="宋体"/>
          <w:sz w:val="31"/>
          <w:szCs w:val="31"/>
          <w:highlight w:val="none"/>
        </w:rPr>
      </w:pPr>
      <w:r>
        <w:rPr>
          <w:rStyle w:val="33"/>
          <w:rFonts w:hint="eastAsia" w:ascii="宋体" w:hAnsi="宋体" w:cs="宋体"/>
          <w:sz w:val="20"/>
          <w:szCs w:val="21"/>
          <w:highlight w:val="none"/>
        </w:rPr>
        <w:br w:type="page"/>
      </w:r>
      <w:r>
        <w:rPr>
          <w:rFonts w:hint="eastAsia" w:ascii="宋体" w:hAnsi="宋体" w:cs="宋体"/>
          <w:b/>
          <w:bCs/>
          <w:spacing w:val="7"/>
          <w:sz w:val="36"/>
          <w:szCs w:val="36"/>
          <w:highlight w:val="none"/>
        </w:rPr>
        <w:t>四、投标分项报价明细表</w:t>
      </w:r>
    </w:p>
    <w:p w14:paraId="6BFB6BFE">
      <w:pPr>
        <w:spacing w:before="165"/>
        <w:rPr>
          <w:rFonts w:ascii="宋体" w:hAnsi="宋体" w:cs="宋体"/>
          <w:highlight w:val="none"/>
        </w:rPr>
      </w:pPr>
    </w:p>
    <w:p w14:paraId="1FEB518B">
      <w:pPr>
        <w:spacing w:before="165"/>
        <w:rPr>
          <w:rFonts w:ascii="宋体" w:hAnsi="宋体" w:cs="宋体"/>
          <w:highlight w:val="none"/>
        </w:rPr>
      </w:pPr>
    </w:p>
    <w:p w14:paraId="354718BA">
      <w:pPr>
        <w:pStyle w:val="46"/>
        <w:tabs>
          <w:tab w:val="left" w:pos="461"/>
          <w:tab w:val="left" w:pos="5723"/>
        </w:tabs>
        <w:spacing w:line="500" w:lineRule="exact"/>
        <w:ind w:firstLine="480" w:firstLineChars="200"/>
        <w:jc w:val="right"/>
        <w:rPr>
          <w:color w:val="auto"/>
          <w:sz w:val="24"/>
          <w:szCs w:val="24"/>
          <w:highlight w:val="none"/>
        </w:rPr>
      </w:pPr>
      <w:r>
        <w:rPr>
          <w:rFonts w:hint="eastAsia"/>
          <w:color w:val="auto"/>
          <w:sz w:val="24"/>
          <w:szCs w:val="24"/>
          <w:highlight w:val="none"/>
        </w:rPr>
        <w:t>单位：元</w:t>
      </w:r>
    </w:p>
    <w:tbl>
      <w:tblPr>
        <w:tblStyle w:val="24"/>
        <w:tblW w:w="9676" w:type="dxa"/>
        <w:tblInd w:w="-65" w:type="dxa"/>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598"/>
        <w:gridCol w:w="1057"/>
        <w:gridCol w:w="22"/>
        <w:gridCol w:w="982"/>
        <w:gridCol w:w="1079"/>
        <w:gridCol w:w="1079"/>
        <w:gridCol w:w="1624"/>
        <w:gridCol w:w="779"/>
        <w:gridCol w:w="822"/>
        <w:gridCol w:w="833"/>
        <w:gridCol w:w="801"/>
      </w:tblGrid>
      <w:tr w14:paraId="41C2FA4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509" w:hRule="atLeast"/>
        </w:trPr>
        <w:tc>
          <w:tcPr>
            <w:tcW w:w="598" w:type="dxa"/>
            <w:tcBorders>
              <w:top w:val="single" w:color="auto" w:sz="12" w:space="0"/>
            </w:tcBorders>
            <w:noWrap/>
            <w:vAlign w:val="center"/>
          </w:tcPr>
          <w:p w14:paraId="30FF0A9D">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序号</w:t>
            </w:r>
          </w:p>
        </w:tc>
        <w:tc>
          <w:tcPr>
            <w:tcW w:w="1057" w:type="dxa"/>
            <w:tcBorders>
              <w:top w:val="single" w:color="auto" w:sz="12" w:space="0"/>
            </w:tcBorders>
            <w:noWrap/>
            <w:vAlign w:val="center"/>
          </w:tcPr>
          <w:p w14:paraId="5F93022E">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名称</w:t>
            </w:r>
          </w:p>
        </w:tc>
        <w:tc>
          <w:tcPr>
            <w:tcW w:w="1004" w:type="dxa"/>
            <w:gridSpan w:val="2"/>
            <w:tcBorders>
              <w:top w:val="single" w:color="auto" w:sz="12" w:space="0"/>
            </w:tcBorders>
            <w:noWrap/>
            <w:vAlign w:val="center"/>
          </w:tcPr>
          <w:p w14:paraId="4967AA5F">
            <w:pPr>
              <w:widowControl/>
              <w:kinsoku w:val="0"/>
              <w:autoSpaceDE w:val="0"/>
              <w:autoSpaceDN w:val="0"/>
              <w:adjustRightInd w:val="0"/>
              <w:snapToGrid w:val="0"/>
              <w:spacing w:line="500" w:lineRule="exact"/>
              <w:jc w:val="center"/>
              <w:textAlignment w:val="baseline"/>
              <w:rPr>
                <w:rFonts w:hint="eastAsia"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品牌</w:t>
            </w:r>
          </w:p>
        </w:tc>
        <w:tc>
          <w:tcPr>
            <w:tcW w:w="1079" w:type="dxa"/>
            <w:tcBorders>
              <w:top w:val="single" w:color="auto" w:sz="12" w:space="0"/>
            </w:tcBorders>
            <w:noWrap/>
            <w:vAlign w:val="center"/>
          </w:tcPr>
          <w:p w14:paraId="6E9FE3E8">
            <w:pPr>
              <w:widowControl/>
              <w:kinsoku w:val="0"/>
              <w:autoSpaceDE w:val="0"/>
              <w:autoSpaceDN w:val="0"/>
              <w:adjustRightInd w:val="0"/>
              <w:snapToGrid w:val="0"/>
              <w:spacing w:line="500" w:lineRule="exact"/>
              <w:jc w:val="center"/>
              <w:textAlignment w:val="baseline"/>
              <w:rPr>
                <w:rFonts w:hint="default" w:ascii="宋体" w:hAnsi="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厂家全称</w:t>
            </w:r>
          </w:p>
        </w:tc>
        <w:tc>
          <w:tcPr>
            <w:tcW w:w="1079" w:type="dxa"/>
            <w:tcBorders>
              <w:top w:val="single" w:color="auto" w:sz="12" w:space="0"/>
            </w:tcBorders>
            <w:noWrap/>
            <w:vAlign w:val="center"/>
          </w:tcPr>
          <w:p w14:paraId="1ABF9FA1">
            <w:pPr>
              <w:widowControl/>
              <w:kinsoku w:val="0"/>
              <w:autoSpaceDE w:val="0"/>
              <w:autoSpaceDN w:val="0"/>
              <w:adjustRightInd w:val="0"/>
              <w:snapToGrid w:val="0"/>
              <w:spacing w:line="500" w:lineRule="exact"/>
              <w:jc w:val="center"/>
              <w:textAlignment w:val="baseline"/>
              <w:rPr>
                <w:rFonts w:hint="default"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规格型号</w:t>
            </w:r>
          </w:p>
        </w:tc>
        <w:tc>
          <w:tcPr>
            <w:tcW w:w="1624" w:type="dxa"/>
            <w:tcBorders>
              <w:top w:val="single" w:color="auto" w:sz="12" w:space="0"/>
            </w:tcBorders>
            <w:noWrap/>
            <w:vAlign w:val="center"/>
          </w:tcPr>
          <w:p w14:paraId="3167DF2F">
            <w:pPr>
              <w:widowControl/>
              <w:kinsoku w:val="0"/>
              <w:autoSpaceDE w:val="0"/>
              <w:autoSpaceDN w:val="0"/>
              <w:adjustRightInd w:val="0"/>
              <w:snapToGrid w:val="0"/>
              <w:spacing w:line="500" w:lineRule="exact"/>
              <w:jc w:val="center"/>
              <w:textAlignment w:val="baseline"/>
              <w:rPr>
                <w:rFonts w:hint="default"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eastAsia="zh-CN"/>
              </w:rPr>
              <w:t>技术</w:t>
            </w:r>
            <w:r>
              <w:rPr>
                <w:rFonts w:hint="eastAsia" w:ascii="宋体" w:hAnsi="宋体" w:cs="宋体"/>
                <w:snapToGrid w:val="0"/>
                <w:kern w:val="0"/>
                <w:sz w:val="21"/>
                <w:szCs w:val="21"/>
                <w:highlight w:val="none"/>
              </w:rPr>
              <w:t>参数</w:t>
            </w:r>
            <w:r>
              <w:rPr>
                <w:rFonts w:hint="eastAsia" w:ascii="宋体" w:hAnsi="宋体" w:cs="宋体"/>
                <w:snapToGrid w:val="0"/>
                <w:kern w:val="0"/>
                <w:sz w:val="21"/>
                <w:szCs w:val="21"/>
                <w:highlight w:val="none"/>
                <w:lang w:val="en-US" w:eastAsia="zh-CN"/>
              </w:rPr>
              <w:t>及要求</w:t>
            </w:r>
          </w:p>
        </w:tc>
        <w:tc>
          <w:tcPr>
            <w:tcW w:w="779" w:type="dxa"/>
            <w:tcBorders>
              <w:top w:val="single" w:color="auto" w:sz="12" w:space="0"/>
            </w:tcBorders>
            <w:noWrap/>
            <w:vAlign w:val="center"/>
          </w:tcPr>
          <w:p w14:paraId="38669D77">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单位</w:t>
            </w:r>
          </w:p>
        </w:tc>
        <w:tc>
          <w:tcPr>
            <w:tcW w:w="822" w:type="dxa"/>
            <w:tcBorders>
              <w:top w:val="single" w:color="auto" w:sz="12" w:space="0"/>
            </w:tcBorders>
            <w:noWrap/>
            <w:vAlign w:val="center"/>
          </w:tcPr>
          <w:p w14:paraId="63E0C4FA">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数量</w:t>
            </w:r>
          </w:p>
        </w:tc>
        <w:tc>
          <w:tcPr>
            <w:tcW w:w="833" w:type="dxa"/>
            <w:tcBorders>
              <w:top w:val="single" w:color="auto" w:sz="12" w:space="0"/>
            </w:tcBorders>
            <w:noWrap/>
            <w:vAlign w:val="center"/>
          </w:tcPr>
          <w:p w14:paraId="004F2BF1">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单价</w:t>
            </w:r>
          </w:p>
        </w:tc>
        <w:tc>
          <w:tcPr>
            <w:tcW w:w="801" w:type="dxa"/>
            <w:tcBorders>
              <w:top w:val="single" w:color="auto" w:sz="12" w:space="0"/>
            </w:tcBorders>
            <w:noWrap/>
            <w:vAlign w:val="center"/>
          </w:tcPr>
          <w:p w14:paraId="4B7BB124">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合价</w:t>
            </w:r>
          </w:p>
        </w:tc>
      </w:tr>
      <w:tr w14:paraId="1A81390A">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969" w:hRule="atLeast"/>
        </w:trPr>
        <w:tc>
          <w:tcPr>
            <w:tcW w:w="598" w:type="dxa"/>
            <w:noWrap/>
            <w:vAlign w:val="center"/>
          </w:tcPr>
          <w:p w14:paraId="2F7D4EFF">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1</w:t>
            </w:r>
          </w:p>
        </w:tc>
        <w:tc>
          <w:tcPr>
            <w:tcW w:w="1057" w:type="dxa"/>
            <w:noWrap/>
            <w:vAlign w:val="center"/>
          </w:tcPr>
          <w:p w14:paraId="382368B3">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04" w:type="dxa"/>
            <w:gridSpan w:val="2"/>
            <w:noWrap/>
            <w:vAlign w:val="center"/>
          </w:tcPr>
          <w:p w14:paraId="4638DBA7">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03D56D27">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4B365146">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624" w:type="dxa"/>
            <w:noWrap/>
            <w:vAlign w:val="center"/>
          </w:tcPr>
          <w:p w14:paraId="784E95C0">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779" w:type="dxa"/>
            <w:noWrap/>
            <w:vAlign w:val="center"/>
          </w:tcPr>
          <w:p w14:paraId="1CED3F97">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p w14:paraId="60202006">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22" w:type="dxa"/>
            <w:noWrap/>
            <w:vAlign w:val="center"/>
          </w:tcPr>
          <w:p w14:paraId="03BA8C61">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33" w:type="dxa"/>
            <w:noWrap/>
            <w:vAlign w:val="center"/>
          </w:tcPr>
          <w:p w14:paraId="55AAA28D">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01" w:type="dxa"/>
            <w:noWrap/>
            <w:vAlign w:val="center"/>
          </w:tcPr>
          <w:p w14:paraId="38949971">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r>
      <w:tr w14:paraId="055A895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825" w:hRule="atLeast"/>
        </w:trPr>
        <w:tc>
          <w:tcPr>
            <w:tcW w:w="598" w:type="dxa"/>
            <w:noWrap/>
            <w:vAlign w:val="center"/>
          </w:tcPr>
          <w:p w14:paraId="10822DF6">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2</w:t>
            </w:r>
          </w:p>
        </w:tc>
        <w:tc>
          <w:tcPr>
            <w:tcW w:w="1057" w:type="dxa"/>
            <w:noWrap/>
            <w:vAlign w:val="center"/>
          </w:tcPr>
          <w:p w14:paraId="061C55C3">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04" w:type="dxa"/>
            <w:gridSpan w:val="2"/>
            <w:noWrap/>
            <w:vAlign w:val="center"/>
          </w:tcPr>
          <w:p w14:paraId="6634E09F">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79A328B2">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079" w:type="dxa"/>
            <w:noWrap/>
            <w:vAlign w:val="center"/>
          </w:tcPr>
          <w:p w14:paraId="4085C5CD">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1624" w:type="dxa"/>
            <w:noWrap/>
            <w:vAlign w:val="center"/>
          </w:tcPr>
          <w:p w14:paraId="6A62B335">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779" w:type="dxa"/>
            <w:noWrap/>
            <w:vAlign w:val="center"/>
          </w:tcPr>
          <w:p w14:paraId="36CA5497">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22" w:type="dxa"/>
            <w:noWrap/>
            <w:vAlign w:val="center"/>
          </w:tcPr>
          <w:p w14:paraId="176D4D45">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33" w:type="dxa"/>
            <w:noWrap/>
            <w:vAlign w:val="center"/>
          </w:tcPr>
          <w:p w14:paraId="0839F8CA">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801" w:type="dxa"/>
            <w:noWrap/>
            <w:vAlign w:val="center"/>
          </w:tcPr>
          <w:p w14:paraId="2CC53E27">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r>
      <w:tr w14:paraId="294F52F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814" w:hRule="atLeast"/>
        </w:trPr>
        <w:tc>
          <w:tcPr>
            <w:tcW w:w="598" w:type="dxa"/>
            <w:noWrap/>
            <w:vAlign w:val="center"/>
          </w:tcPr>
          <w:p w14:paraId="24C896CE">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1057" w:type="dxa"/>
            <w:noWrap/>
            <w:vAlign w:val="center"/>
          </w:tcPr>
          <w:p w14:paraId="6EB53CD3">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1004" w:type="dxa"/>
            <w:gridSpan w:val="2"/>
            <w:noWrap/>
            <w:vAlign w:val="center"/>
          </w:tcPr>
          <w:p w14:paraId="5CBBCD1F">
            <w:pPr>
              <w:widowControl/>
              <w:kinsoku w:val="0"/>
              <w:autoSpaceDE w:val="0"/>
              <w:autoSpaceDN w:val="0"/>
              <w:adjustRightInd w:val="0"/>
              <w:snapToGrid w:val="0"/>
              <w:spacing w:line="500" w:lineRule="exact"/>
              <w:ind w:firstLine="420" w:firstLineChars="200"/>
              <w:jc w:val="center"/>
              <w:textAlignment w:val="baseline"/>
              <w:rPr>
                <w:rFonts w:hint="eastAsia" w:ascii="宋体" w:hAnsi="宋体" w:cs="宋体"/>
                <w:snapToGrid w:val="0"/>
                <w:kern w:val="0"/>
                <w:sz w:val="21"/>
                <w:szCs w:val="21"/>
                <w:highlight w:val="none"/>
                <w:lang w:eastAsia="en-US"/>
              </w:rPr>
            </w:pPr>
          </w:p>
        </w:tc>
        <w:tc>
          <w:tcPr>
            <w:tcW w:w="1079" w:type="dxa"/>
            <w:noWrap/>
            <w:vAlign w:val="center"/>
          </w:tcPr>
          <w:p w14:paraId="4D56A9FC">
            <w:pPr>
              <w:widowControl/>
              <w:kinsoku w:val="0"/>
              <w:autoSpaceDE w:val="0"/>
              <w:autoSpaceDN w:val="0"/>
              <w:adjustRightInd w:val="0"/>
              <w:snapToGrid w:val="0"/>
              <w:spacing w:line="500" w:lineRule="exact"/>
              <w:ind w:firstLine="420" w:firstLineChars="200"/>
              <w:jc w:val="center"/>
              <w:textAlignment w:val="baseline"/>
              <w:rPr>
                <w:rFonts w:hint="eastAsia" w:ascii="宋体" w:hAnsi="宋体" w:cs="宋体"/>
                <w:snapToGrid w:val="0"/>
                <w:kern w:val="0"/>
                <w:sz w:val="21"/>
                <w:szCs w:val="21"/>
                <w:highlight w:val="none"/>
                <w:lang w:eastAsia="en-US"/>
              </w:rPr>
            </w:pPr>
          </w:p>
        </w:tc>
        <w:tc>
          <w:tcPr>
            <w:tcW w:w="1079" w:type="dxa"/>
            <w:noWrap/>
            <w:vAlign w:val="center"/>
          </w:tcPr>
          <w:p w14:paraId="721E34EC">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1624" w:type="dxa"/>
            <w:noWrap/>
            <w:vAlign w:val="center"/>
          </w:tcPr>
          <w:p w14:paraId="7C3C2DB4">
            <w:pPr>
              <w:widowControl/>
              <w:kinsoku w:val="0"/>
              <w:autoSpaceDE w:val="0"/>
              <w:autoSpaceDN w:val="0"/>
              <w:adjustRightInd w:val="0"/>
              <w:snapToGrid w:val="0"/>
              <w:spacing w:line="500" w:lineRule="exact"/>
              <w:ind w:firstLine="420" w:firstLineChars="200"/>
              <w:jc w:val="center"/>
              <w:textAlignment w:val="baseline"/>
              <w:rPr>
                <w:rFonts w:ascii="宋体" w:hAnsi="宋体" w:cs="宋体"/>
                <w:snapToGrid w:val="0"/>
                <w:kern w:val="0"/>
                <w:sz w:val="21"/>
                <w:szCs w:val="21"/>
                <w:highlight w:val="none"/>
                <w:lang w:eastAsia="en-US"/>
              </w:rPr>
            </w:pPr>
          </w:p>
        </w:tc>
        <w:tc>
          <w:tcPr>
            <w:tcW w:w="779" w:type="dxa"/>
            <w:noWrap/>
            <w:vAlign w:val="center"/>
          </w:tcPr>
          <w:p w14:paraId="1FE1888A">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822" w:type="dxa"/>
            <w:noWrap/>
            <w:vAlign w:val="center"/>
          </w:tcPr>
          <w:p w14:paraId="13FF41AC">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833" w:type="dxa"/>
            <w:noWrap/>
            <w:vAlign w:val="center"/>
          </w:tcPr>
          <w:p w14:paraId="06E7B898">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c>
          <w:tcPr>
            <w:tcW w:w="801" w:type="dxa"/>
            <w:noWrap/>
            <w:vAlign w:val="center"/>
          </w:tcPr>
          <w:p w14:paraId="2DB92186">
            <w:pPr>
              <w:widowControl/>
              <w:kinsoku w:val="0"/>
              <w:autoSpaceDE w:val="0"/>
              <w:autoSpaceDN w:val="0"/>
              <w:adjustRightInd w:val="0"/>
              <w:snapToGrid w:val="0"/>
              <w:spacing w:line="500" w:lineRule="exact"/>
              <w:jc w:val="center"/>
              <w:textAlignment w:val="baseline"/>
              <w:rPr>
                <w:rFonts w:ascii="宋体" w:hAnsi="宋体" w:cs="宋体"/>
                <w:snapToGrid w:val="0"/>
                <w:kern w:val="0"/>
                <w:sz w:val="21"/>
                <w:szCs w:val="21"/>
                <w:highlight w:val="none"/>
                <w:lang w:eastAsia="en-US"/>
              </w:rPr>
            </w:pPr>
            <w:r>
              <w:rPr>
                <w:rFonts w:hint="eastAsia" w:ascii="宋体" w:hAnsi="宋体" w:cs="宋体"/>
                <w:snapToGrid w:val="0"/>
                <w:kern w:val="0"/>
                <w:sz w:val="21"/>
                <w:szCs w:val="21"/>
                <w:highlight w:val="none"/>
                <w:lang w:eastAsia="en-US"/>
              </w:rPr>
              <w:t>...</w:t>
            </w:r>
          </w:p>
        </w:tc>
      </w:tr>
      <w:tr w14:paraId="3277399A">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894" w:hRule="atLeast"/>
        </w:trPr>
        <w:tc>
          <w:tcPr>
            <w:tcW w:w="598" w:type="dxa"/>
            <w:noWrap/>
            <w:vAlign w:val="center"/>
          </w:tcPr>
          <w:p w14:paraId="72806D5F">
            <w:pPr>
              <w:pStyle w:val="2"/>
              <w:ind w:firstLine="240"/>
              <w:rPr>
                <w:rFonts w:hint="eastAsia" w:ascii="宋体" w:hAnsi="宋体"/>
                <w:snapToGrid w:val="0"/>
                <w:sz w:val="21"/>
                <w:szCs w:val="21"/>
                <w:highlight w:val="none"/>
                <w:lang w:val="en-US"/>
              </w:rPr>
            </w:pPr>
          </w:p>
        </w:tc>
        <w:tc>
          <w:tcPr>
            <w:tcW w:w="1079" w:type="dxa"/>
            <w:gridSpan w:val="2"/>
            <w:noWrap/>
            <w:vAlign w:val="center"/>
          </w:tcPr>
          <w:p w14:paraId="18FEB80B">
            <w:pPr>
              <w:pStyle w:val="2"/>
              <w:ind w:firstLine="240"/>
              <w:rPr>
                <w:rFonts w:hint="eastAsia" w:ascii="宋体" w:hAnsi="宋体"/>
                <w:snapToGrid w:val="0"/>
                <w:sz w:val="21"/>
                <w:szCs w:val="21"/>
                <w:highlight w:val="none"/>
                <w:lang w:val="en-US"/>
              </w:rPr>
            </w:pPr>
          </w:p>
        </w:tc>
        <w:tc>
          <w:tcPr>
            <w:tcW w:w="7999" w:type="dxa"/>
            <w:gridSpan w:val="8"/>
            <w:noWrap/>
            <w:vAlign w:val="center"/>
          </w:tcPr>
          <w:p w14:paraId="60B82384">
            <w:pPr>
              <w:widowControl/>
              <w:kinsoku w:val="0"/>
              <w:autoSpaceDE w:val="0"/>
              <w:autoSpaceDN w:val="0"/>
              <w:adjustRightInd w:val="0"/>
              <w:snapToGrid w:val="0"/>
              <w:spacing w:line="500" w:lineRule="exact"/>
              <w:jc w:val="left"/>
              <w:textAlignment w:val="baseline"/>
              <w:rPr>
                <w:rFonts w:ascii="宋体" w:hAnsi="宋体" w:cs="宋体"/>
                <w:snapToGrid w:val="0"/>
                <w:kern w:val="0"/>
                <w:sz w:val="21"/>
                <w:szCs w:val="21"/>
                <w:highlight w:val="none"/>
              </w:rPr>
            </w:pPr>
            <w:r>
              <w:rPr>
                <w:rFonts w:hint="eastAsia" w:ascii="宋体" w:hAnsi="宋体" w:cs="宋体"/>
                <w:snapToGrid w:val="0"/>
                <w:kern w:val="0"/>
                <w:sz w:val="21"/>
                <w:szCs w:val="21"/>
                <w:highlight w:val="none"/>
              </w:rPr>
              <w:t>总价人民币：</w:t>
            </w:r>
          </w:p>
          <w:p w14:paraId="00810A78">
            <w:pPr>
              <w:pStyle w:val="2"/>
              <w:ind w:firstLine="240"/>
              <w:rPr>
                <w:rFonts w:ascii="宋体" w:hAnsi="宋体"/>
                <w:snapToGrid w:val="0"/>
                <w:sz w:val="21"/>
                <w:szCs w:val="21"/>
                <w:highlight w:val="none"/>
                <w:lang w:val="en-US"/>
              </w:rPr>
            </w:pPr>
            <w:r>
              <w:rPr>
                <w:rFonts w:hint="eastAsia" w:ascii="宋体" w:hAnsi="宋体"/>
                <w:snapToGrid w:val="0"/>
                <w:sz w:val="21"/>
                <w:szCs w:val="21"/>
                <w:highlight w:val="none"/>
                <w:lang w:val="en-US"/>
              </w:rPr>
              <w:t>大写： 小写元</w:t>
            </w:r>
          </w:p>
        </w:tc>
      </w:tr>
    </w:tbl>
    <w:p w14:paraId="3C029F23">
      <w:pPr>
        <w:spacing w:before="165"/>
        <w:rPr>
          <w:rFonts w:ascii="宋体" w:hAnsi="宋体" w:cs="宋体"/>
          <w:highlight w:val="none"/>
        </w:rPr>
      </w:pPr>
    </w:p>
    <w:p w14:paraId="1A6E6EB6">
      <w:pPr>
        <w:spacing w:before="165"/>
        <w:rPr>
          <w:rFonts w:ascii="宋体" w:hAnsi="宋体" w:cs="宋体"/>
          <w:highlight w:val="none"/>
        </w:rPr>
      </w:pPr>
    </w:p>
    <w:p w14:paraId="480A3613">
      <w:pPr>
        <w:spacing w:before="165"/>
        <w:rPr>
          <w:rFonts w:hint="default" w:ascii="宋体" w:hAnsi="宋体" w:eastAsia="宋体" w:cs="宋体"/>
          <w:highlight w:val="none"/>
          <w:lang w:val="en-US" w:eastAsia="zh-CN"/>
        </w:rPr>
      </w:pPr>
      <w:r>
        <w:rPr>
          <w:rFonts w:hint="eastAsia"/>
          <w:highlight w:val="none"/>
          <w:lang w:val="en-US" w:eastAsia="zh-CN"/>
        </w:rPr>
        <w:t xml:space="preserve">备注：可根据招标文件“第五章 </w:t>
      </w:r>
      <w:r>
        <w:rPr>
          <w:rFonts w:hint="eastAsia"/>
          <w:highlight w:val="none"/>
          <w:lang w:val="en-US"/>
        </w:rPr>
        <w:t>采购</w:t>
      </w:r>
      <w:r>
        <w:rPr>
          <w:rFonts w:hint="eastAsia"/>
          <w:highlight w:val="none"/>
        </w:rPr>
        <w:t>内容及要求</w:t>
      </w:r>
      <w:r>
        <w:rPr>
          <w:rFonts w:hint="eastAsia"/>
          <w:highlight w:val="none"/>
          <w:lang w:eastAsia="zh-CN"/>
        </w:rPr>
        <w:t>”</w:t>
      </w:r>
      <w:r>
        <w:rPr>
          <w:rFonts w:hint="eastAsia"/>
          <w:highlight w:val="none"/>
          <w:lang w:val="en-US" w:eastAsia="zh-CN"/>
        </w:rPr>
        <w:t>适当调整表格。</w:t>
      </w:r>
    </w:p>
    <w:p w14:paraId="7B06D7D8">
      <w:pPr>
        <w:spacing w:before="165"/>
        <w:rPr>
          <w:rFonts w:ascii="宋体" w:hAnsi="宋体" w:cs="宋体"/>
          <w:highlight w:val="none"/>
        </w:rPr>
      </w:pPr>
    </w:p>
    <w:p w14:paraId="1C65A7E5">
      <w:pPr>
        <w:spacing w:before="165"/>
        <w:rPr>
          <w:rFonts w:ascii="宋体" w:hAnsi="宋体" w:cs="宋体"/>
          <w:highlight w:val="none"/>
        </w:rPr>
      </w:pPr>
    </w:p>
    <w:p w14:paraId="535F9407">
      <w:pPr>
        <w:pStyle w:val="3"/>
        <w:spacing w:line="271" w:lineRule="auto"/>
        <w:rPr>
          <w:highlight w:val="none"/>
        </w:rPr>
      </w:pPr>
    </w:p>
    <w:p w14:paraId="327ED090">
      <w:pPr>
        <w:pStyle w:val="3"/>
        <w:spacing w:line="323" w:lineRule="auto"/>
        <w:rPr>
          <w:highlight w:val="none"/>
        </w:rPr>
      </w:pPr>
    </w:p>
    <w:p w14:paraId="4BC3B049">
      <w:pPr>
        <w:pStyle w:val="28"/>
        <w:rPr>
          <w:rFonts w:ascii="宋体" w:hAnsi="宋体" w:cs="宋体"/>
          <w:highlight w:val="none"/>
        </w:rPr>
      </w:pPr>
    </w:p>
    <w:p w14:paraId="0609774D">
      <w:pPr>
        <w:pStyle w:val="28"/>
        <w:rPr>
          <w:rFonts w:ascii="宋体" w:hAnsi="宋体" w:cs="宋体"/>
          <w:highlight w:val="none"/>
        </w:rPr>
      </w:pPr>
    </w:p>
    <w:p w14:paraId="643FD7B8">
      <w:pPr>
        <w:pStyle w:val="28"/>
        <w:rPr>
          <w:rFonts w:ascii="宋体" w:hAnsi="宋体" w:cs="宋体"/>
          <w:highlight w:val="none"/>
        </w:rPr>
      </w:pPr>
    </w:p>
    <w:p w14:paraId="4713F381">
      <w:pPr>
        <w:spacing w:before="78" w:line="219" w:lineRule="auto"/>
        <w:ind w:left="481"/>
        <w:rPr>
          <w:rFonts w:ascii="宋体" w:hAnsi="宋体" w:cs="宋体"/>
          <w:sz w:val="24"/>
          <w:highlight w:val="none"/>
        </w:rPr>
      </w:pPr>
      <w:r>
        <w:rPr>
          <w:rFonts w:hint="eastAsia" w:ascii="宋体" w:hAnsi="宋体" w:cs="宋体"/>
          <w:spacing w:val="2"/>
          <w:sz w:val="24"/>
          <w:highlight w:val="none"/>
        </w:rPr>
        <w:t>供应商</w:t>
      </w:r>
      <w:r>
        <w:rPr>
          <w:rFonts w:hint="eastAsia" w:ascii="宋体" w:hAnsi="宋体" w:cs="宋体"/>
          <w:spacing w:val="-16"/>
          <w:sz w:val="24"/>
          <w:highlight w:val="none"/>
        </w:rPr>
        <w:t>：（</w:t>
      </w:r>
      <w:r>
        <w:rPr>
          <w:rFonts w:hint="eastAsia" w:ascii="宋体" w:hAnsi="宋体" w:cs="宋体"/>
          <w:spacing w:val="2"/>
          <w:sz w:val="24"/>
          <w:highlight w:val="none"/>
        </w:rPr>
        <w:t>电子签章）</w:t>
      </w:r>
    </w:p>
    <w:p w14:paraId="2D39455A">
      <w:pPr>
        <w:spacing w:before="184" w:line="216" w:lineRule="auto"/>
        <w:ind w:left="482"/>
        <w:rPr>
          <w:rFonts w:ascii="宋体" w:hAnsi="宋体" w:cs="宋体"/>
          <w:sz w:val="24"/>
          <w:highlight w:val="none"/>
        </w:rPr>
      </w:pPr>
      <w:r>
        <w:rPr>
          <w:rFonts w:hint="eastAsia" w:ascii="宋体" w:hAnsi="宋体" w:cs="宋体"/>
          <w:spacing w:val="1"/>
          <w:sz w:val="24"/>
          <w:highlight w:val="none"/>
        </w:rPr>
        <w:t>法定代表人（负责人</w:t>
      </w:r>
      <w:r>
        <w:rPr>
          <w:rFonts w:hint="eastAsia" w:ascii="宋体" w:hAnsi="宋体" w:cs="宋体"/>
          <w:spacing w:val="-49"/>
          <w:sz w:val="24"/>
          <w:highlight w:val="none"/>
        </w:rPr>
        <w:t>）：</w:t>
      </w:r>
      <w:r>
        <w:rPr>
          <w:rFonts w:hint="eastAsia" w:ascii="宋体" w:hAnsi="宋体" w:cs="宋体"/>
          <w:spacing w:val="-16"/>
          <w:sz w:val="24"/>
          <w:highlight w:val="none"/>
        </w:rPr>
        <w:t>（</w:t>
      </w:r>
      <w:r>
        <w:rPr>
          <w:rFonts w:hint="eastAsia" w:ascii="宋体" w:hAnsi="宋体" w:cs="宋体"/>
          <w:spacing w:val="2"/>
          <w:sz w:val="24"/>
          <w:highlight w:val="none"/>
        </w:rPr>
        <w:t>电子签章</w:t>
      </w:r>
      <w:r>
        <w:rPr>
          <w:rFonts w:hint="eastAsia" w:ascii="宋体" w:hAnsi="宋体" w:cs="宋体"/>
          <w:spacing w:val="1"/>
          <w:sz w:val="24"/>
          <w:highlight w:val="none"/>
        </w:rPr>
        <w:t>或电子签</w:t>
      </w:r>
      <w:r>
        <w:rPr>
          <w:rFonts w:hint="eastAsia" w:ascii="宋体" w:hAnsi="宋体" w:cs="宋体"/>
          <w:spacing w:val="1"/>
          <w:sz w:val="24"/>
          <w:highlight w:val="none"/>
          <w:lang w:eastAsia="zh-CN"/>
        </w:rPr>
        <w:t>名</w:t>
      </w:r>
      <w:r>
        <w:rPr>
          <w:rFonts w:hint="eastAsia" w:ascii="宋体" w:hAnsi="宋体" w:cs="宋体"/>
          <w:spacing w:val="1"/>
          <w:sz w:val="24"/>
          <w:highlight w:val="none"/>
        </w:rPr>
        <w:t>）</w:t>
      </w:r>
    </w:p>
    <w:p w14:paraId="4161C2C9">
      <w:pPr>
        <w:spacing w:before="187" w:line="219" w:lineRule="auto"/>
        <w:ind w:left="523"/>
        <w:rPr>
          <w:rFonts w:ascii="宋体" w:hAnsi="宋体" w:cs="宋体"/>
          <w:sz w:val="24"/>
          <w:highlight w:val="none"/>
        </w:rPr>
      </w:pPr>
      <w:r>
        <w:rPr>
          <w:rFonts w:hint="eastAsia" w:ascii="宋体" w:hAnsi="宋体" w:cs="宋体"/>
          <w:spacing w:val="-13"/>
          <w:sz w:val="24"/>
          <w:highlight w:val="none"/>
        </w:rPr>
        <w:t>日期：年月日</w:t>
      </w:r>
    </w:p>
    <w:p w14:paraId="6C2E3830">
      <w:pPr>
        <w:spacing w:line="219" w:lineRule="auto"/>
        <w:rPr>
          <w:rFonts w:ascii="宋体" w:hAnsi="宋体" w:cs="宋体"/>
          <w:sz w:val="24"/>
          <w:highlight w:val="none"/>
        </w:rPr>
        <w:sectPr>
          <w:headerReference r:id="rId7" w:type="default"/>
          <w:footerReference r:id="rId8" w:type="default"/>
          <w:pgSz w:w="11910" w:h="16840"/>
          <w:pgMar w:top="1440" w:right="1304" w:bottom="1440" w:left="1304" w:header="0" w:footer="782" w:gutter="0"/>
          <w:cols w:space="0" w:num="1"/>
        </w:sectPr>
      </w:pPr>
    </w:p>
    <w:p w14:paraId="3FBCF129">
      <w:pPr>
        <w:keepNext/>
        <w:keepLines/>
        <w:spacing w:before="260" w:after="260" w:line="416" w:lineRule="auto"/>
        <w:jc w:val="center"/>
        <w:rPr>
          <w:rFonts w:ascii="宋体" w:hAnsi="宋体" w:cs="宋体"/>
          <w:b/>
          <w:bCs/>
          <w:sz w:val="36"/>
          <w:szCs w:val="28"/>
          <w:highlight w:val="none"/>
        </w:rPr>
      </w:pPr>
      <w:bookmarkStart w:id="47" w:name="_Toc25711"/>
      <w:bookmarkStart w:id="48" w:name="_Toc17336"/>
      <w:bookmarkStart w:id="49" w:name="_Toc17678"/>
      <w:bookmarkStart w:id="50" w:name="_Toc28913"/>
      <w:bookmarkStart w:id="51" w:name="_Toc65"/>
      <w:bookmarkStart w:id="52" w:name="_Toc23612"/>
      <w:bookmarkStart w:id="53" w:name="_Toc12408"/>
      <w:bookmarkStart w:id="54" w:name="_Toc24344"/>
      <w:bookmarkStart w:id="55" w:name="_Toc18936"/>
      <w:bookmarkStart w:id="56" w:name="_Toc14338"/>
      <w:r>
        <w:rPr>
          <w:rFonts w:hint="eastAsia" w:ascii="宋体" w:hAnsi="宋体" w:cs="宋体"/>
          <w:b/>
          <w:bCs/>
          <w:sz w:val="36"/>
          <w:szCs w:val="28"/>
          <w:highlight w:val="none"/>
        </w:rPr>
        <w:t>五、</w:t>
      </w:r>
      <w:bookmarkEnd w:id="47"/>
      <w:r>
        <w:rPr>
          <w:rFonts w:hint="eastAsia" w:ascii="宋体" w:hAnsi="宋体" w:cs="宋体"/>
          <w:b/>
          <w:bCs/>
          <w:sz w:val="36"/>
          <w:szCs w:val="28"/>
          <w:highlight w:val="none"/>
        </w:rPr>
        <w:t>供应商资格证明文件</w:t>
      </w:r>
      <w:bookmarkEnd w:id="48"/>
      <w:bookmarkEnd w:id="49"/>
      <w:bookmarkEnd w:id="50"/>
      <w:bookmarkEnd w:id="51"/>
      <w:bookmarkEnd w:id="52"/>
      <w:bookmarkEnd w:id="53"/>
      <w:bookmarkEnd w:id="54"/>
      <w:bookmarkEnd w:id="55"/>
      <w:bookmarkEnd w:id="56"/>
    </w:p>
    <w:p w14:paraId="74DDD354">
      <w:pPr>
        <w:widowControl/>
        <w:spacing w:line="360" w:lineRule="auto"/>
        <w:jc w:val="center"/>
        <w:rPr>
          <w:rFonts w:ascii="宋体" w:hAnsi="宋体" w:cs="宋体"/>
          <w:b/>
          <w:kern w:val="0"/>
          <w:sz w:val="28"/>
          <w:szCs w:val="28"/>
          <w:highlight w:val="none"/>
        </w:rPr>
      </w:pPr>
      <w:r>
        <w:rPr>
          <w:rFonts w:hint="eastAsia" w:ascii="宋体" w:hAnsi="宋体" w:cs="宋体"/>
          <w:b/>
          <w:kern w:val="0"/>
          <w:sz w:val="28"/>
          <w:szCs w:val="28"/>
          <w:highlight w:val="none"/>
        </w:rPr>
        <w:t>（一）供应商基本情况表</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2357"/>
        <w:gridCol w:w="1455"/>
        <w:gridCol w:w="2311"/>
      </w:tblGrid>
      <w:tr w14:paraId="2CAC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3E95F4A6">
            <w:pPr>
              <w:tabs>
                <w:tab w:val="center" w:pos="4153"/>
                <w:tab w:val="right" w:pos="8306"/>
              </w:tabs>
              <w:snapToGrid w:val="0"/>
              <w:jc w:val="center"/>
              <w:rPr>
                <w:rFonts w:ascii="宋体" w:hAnsi="宋体" w:cs="宋体"/>
                <w:highlight w:val="none"/>
              </w:rPr>
            </w:pPr>
            <w:r>
              <w:rPr>
                <w:rFonts w:hint="eastAsia" w:ascii="宋体" w:hAnsi="宋体" w:cs="宋体"/>
                <w:highlight w:val="none"/>
              </w:rPr>
              <w:t>供应商名称</w:t>
            </w:r>
          </w:p>
        </w:tc>
        <w:tc>
          <w:tcPr>
            <w:tcW w:w="7020" w:type="dxa"/>
            <w:gridSpan w:val="4"/>
            <w:noWrap/>
            <w:vAlign w:val="center"/>
          </w:tcPr>
          <w:p w14:paraId="3A2E5648">
            <w:pPr>
              <w:tabs>
                <w:tab w:val="center" w:pos="4153"/>
                <w:tab w:val="right" w:pos="8306"/>
              </w:tabs>
              <w:snapToGrid w:val="0"/>
              <w:jc w:val="center"/>
              <w:rPr>
                <w:rFonts w:ascii="宋体" w:hAnsi="宋体" w:cs="宋体"/>
                <w:highlight w:val="none"/>
              </w:rPr>
            </w:pPr>
          </w:p>
        </w:tc>
      </w:tr>
      <w:tr w14:paraId="3742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0EE5533B">
            <w:pPr>
              <w:tabs>
                <w:tab w:val="center" w:pos="4153"/>
                <w:tab w:val="right" w:pos="8306"/>
              </w:tabs>
              <w:snapToGrid w:val="0"/>
              <w:jc w:val="center"/>
              <w:rPr>
                <w:rFonts w:ascii="宋体" w:hAnsi="宋体" w:cs="宋体"/>
                <w:highlight w:val="none"/>
              </w:rPr>
            </w:pPr>
            <w:r>
              <w:rPr>
                <w:rFonts w:hint="eastAsia" w:ascii="宋体" w:hAnsi="宋体" w:cs="宋体"/>
                <w:highlight w:val="none"/>
              </w:rPr>
              <w:t>注册地址</w:t>
            </w:r>
          </w:p>
        </w:tc>
        <w:tc>
          <w:tcPr>
            <w:tcW w:w="3254" w:type="dxa"/>
            <w:gridSpan w:val="2"/>
            <w:noWrap/>
            <w:vAlign w:val="center"/>
          </w:tcPr>
          <w:p w14:paraId="0D4A355A">
            <w:pPr>
              <w:tabs>
                <w:tab w:val="center" w:pos="4153"/>
                <w:tab w:val="right" w:pos="8306"/>
              </w:tabs>
              <w:snapToGrid w:val="0"/>
              <w:jc w:val="center"/>
              <w:rPr>
                <w:rFonts w:ascii="宋体" w:hAnsi="宋体" w:cs="宋体"/>
                <w:highlight w:val="none"/>
              </w:rPr>
            </w:pPr>
          </w:p>
        </w:tc>
        <w:tc>
          <w:tcPr>
            <w:tcW w:w="1455" w:type="dxa"/>
            <w:noWrap/>
            <w:vAlign w:val="center"/>
          </w:tcPr>
          <w:p w14:paraId="55BAA9B7">
            <w:pPr>
              <w:tabs>
                <w:tab w:val="center" w:pos="4153"/>
                <w:tab w:val="right" w:pos="8306"/>
              </w:tabs>
              <w:snapToGrid w:val="0"/>
              <w:jc w:val="center"/>
              <w:rPr>
                <w:rFonts w:ascii="宋体" w:hAnsi="宋体" w:cs="宋体"/>
                <w:highlight w:val="none"/>
              </w:rPr>
            </w:pPr>
            <w:r>
              <w:rPr>
                <w:rFonts w:hint="eastAsia" w:ascii="宋体" w:hAnsi="宋体" w:cs="宋体"/>
                <w:highlight w:val="none"/>
              </w:rPr>
              <w:t>邮政编码</w:t>
            </w:r>
          </w:p>
        </w:tc>
        <w:tc>
          <w:tcPr>
            <w:tcW w:w="2311" w:type="dxa"/>
            <w:noWrap/>
            <w:vAlign w:val="center"/>
          </w:tcPr>
          <w:p w14:paraId="22D54BF6">
            <w:pPr>
              <w:tabs>
                <w:tab w:val="center" w:pos="4153"/>
                <w:tab w:val="right" w:pos="8306"/>
              </w:tabs>
              <w:snapToGrid w:val="0"/>
              <w:jc w:val="center"/>
              <w:rPr>
                <w:rFonts w:ascii="宋体" w:hAnsi="宋体" w:cs="宋体"/>
                <w:highlight w:val="none"/>
              </w:rPr>
            </w:pPr>
          </w:p>
        </w:tc>
      </w:tr>
      <w:tr w14:paraId="79EB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ign w:val="center"/>
          </w:tcPr>
          <w:p w14:paraId="52FA26E0">
            <w:pPr>
              <w:tabs>
                <w:tab w:val="center" w:pos="4153"/>
                <w:tab w:val="right" w:pos="8306"/>
              </w:tabs>
              <w:snapToGrid w:val="0"/>
              <w:jc w:val="center"/>
              <w:rPr>
                <w:rFonts w:ascii="宋体" w:hAnsi="宋体" w:cs="宋体"/>
                <w:highlight w:val="none"/>
              </w:rPr>
            </w:pPr>
            <w:r>
              <w:rPr>
                <w:rFonts w:hint="eastAsia" w:ascii="宋体" w:hAnsi="宋体" w:cs="宋体"/>
                <w:highlight w:val="none"/>
              </w:rPr>
              <w:t>联系方式</w:t>
            </w:r>
          </w:p>
        </w:tc>
        <w:tc>
          <w:tcPr>
            <w:tcW w:w="897" w:type="dxa"/>
            <w:noWrap/>
            <w:vAlign w:val="center"/>
          </w:tcPr>
          <w:p w14:paraId="73EE21CE">
            <w:pPr>
              <w:tabs>
                <w:tab w:val="center" w:pos="4153"/>
                <w:tab w:val="right" w:pos="8306"/>
              </w:tabs>
              <w:snapToGrid w:val="0"/>
              <w:jc w:val="center"/>
              <w:rPr>
                <w:rFonts w:ascii="宋体" w:hAnsi="宋体" w:cs="宋体"/>
                <w:highlight w:val="none"/>
              </w:rPr>
            </w:pPr>
            <w:r>
              <w:rPr>
                <w:rFonts w:hint="eastAsia" w:ascii="宋体" w:hAnsi="宋体" w:cs="宋体"/>
                <w:highlight w:val="none"/>
              </w:rPr>
              <w:t>联系人</w:t>
            </w:r>
          </w:p>
        </w:tc>
        <w:tc>
          <w:tcPr>
            <w:tcW w:w="2357" w:type="dxa"/>
            <w:noWrap/>
            <w:vAlign w:val="center"/>
          </w:tcPr>
          <w:p w14:paraId="7E221D58">
            <w:pPr>
              <w:tabs>
                <w:tab w:val="center" w:pos="4153"/>
                <w:tab w:val="right" w:pos="8306"/>
              </w:tabs>
              <w:snapToGrid w:val="0"/>
              <w:jc w:val="center"/>
              <w:rPr>
                <w:rFonts w:ascii="宋体" w:hAnsi="宋体" w:cs="宋体"/>
                <w:highlight w:val="none"/>
              </w:rPr>
            </w:pPr>
          </w:p>
        </w:tc>
        <w:tc>
          <w:tcPr>
            <w:tcW w:w="1455" w:type="dxa"/>
            <w:noWrap/>
            <w:vAlign w:val="center"/>
          </w:tcPr>
          <w:p w14:paraId="4A278950">
            <w:pPr>
              <w:tabs>
                <w:tab w:val="center" w:pos="4153"/>
                <w:tab w:val="right" w:pos="8306"/>
              </w:tabs>
              <w:snapToGrid w:val="0"/>
              <w:jc w:val="center"/>
              <w:rPr>
                <w:rFonts w:ascii="宋体" w:hAnsi="宋体" w:cs="宋体"/>
                <w:highlight w:val="none"/>
              </w:rPr>
            </w:pPr>
            <w:r>
              <w:rPr>
                <w:rFonts w:hint="eastAsia" w:ascii="宋体" w:hAnsi="宋体" w:cs="宋体"/>
                <w:highlight w:val="none"/>
              </w:rPr>
              <w:t>电  话</w:t>
            </w:r>
          </w:p>
        </w:tc>
        <w:tc>
          <w:tcPr>
            <w:tcW w:w="2311" w:type="dxa"/>
            <w:noWrap/>
            <w:vAlign w:val="center"/>
          </w:tcPr>
          <w:p w14:paraId="2EBC07CC">
            <w:pPr>
              <w:tabs>
                <w:tab w:val="center" w:pos="4153"/>
                <w:tab w:val="right" w:pos="8306"/>
              </w:tabs>
              <w:snapToGrid w:val="0"/>
              <w:jc w:val="center"/>
              <w:rPr>
                <w:rFonts w:ascii="宋体" w:hAnsi="宋体" w:cs="宋体"/>
                <w:highlight w:val="none"/>
              </w:rPr>
            </w:pPr>
          </w:p>
        </w:tc>
      </w:tr>
      <w:tr w14:paraId="682E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ign w:val="center"/>
          </w:tcPr>
          <w:p w14:paraId="38CB234F">
            <w:pPr>
              <w:tabs>
                <w:tab w:val="center" w:pos="4153"/>
                <w:tab w:val="right" w:pos="8306"/>
              </w:tabs>
              <w:snapToGrid w:val="0"/>
              <w:jc w:val="center"/>
              <w:rPr>
                <w:rFonts w:ascii="宋体" w:hAnsi="宋体" w:cs="宋体"/>
                <w:highlight w:val="none"/>
              </w:rPr>
            </w:pPr>
          </w:p>
        </w:tc>
        <w:tc>
          <w:tcPr>
            <w:tcW w:w="897" w:type="dxa"/>
            <w:noWrap/>
            <w:vAlign w:val="center"/>
          </w:tcPr>
          <w:p w14:paraId="026E3C31">
            <w:pPr>
              <w:tabs>
                <w:tab w:val="center" w:pos="4153"/>
                <w:tab w:val="right" w:pos="8306"/>
              </w:tabs>
              <w:snapToGrid w:val="0"/>
              <w:jc w:val="center"/>
              <w:rPr>
                <w:rFonts w:ascii="宋体" w:hAnsi="宋体" w:cs="宋体"/>
                <w:highlight w:val="none"/>
              </w:rPr>
            </w:pPr>
            <w:r>
              <w:rPr>
                <w:rFonts w:hint="eastAsia" w:ascii="宋体" w:hAnsi="宋体" w:cs="宋体"/>
                <w:highlight w:val="none"/>
              </w:rPr>
              <w:t>传  真</w:t>
            </w:r>
          </w:p>
        </w:tc>
        <w:tc>
          <w:tcPr>
            <w:tcW w:w="2357" w:type="dxa"/>
            <w:noWrap/>
            <w:vAlign w:val="center"/>
          </w:tcPr>
          <w:p w14:paraId="59EDD83A">
            <w:pPr>
              <w:tabs>
                <w:tab w:val="center" w:pos="4153"/>
                <w:tab w:val="right" w:pos="8306"/>
              </w:tabs>
              <w:snapToGrid w:val="0"/>
              <w:jc w:val="center"/>
              <w:rPr>
                <w:rFonts w:ascii="宋体" w:hAnsi="宋体" w:cs="宋体"/>
                <w:highlight w:val="none"/>
              </w:rPr>
            </w:pPr>
          </w:p>
        </w:tc>
        <w:tc>
          <w:tcPr>
            <w:tcW w:w="1455" w:type="dxa"/>
            <w:noWrap/>
            <w:vAlign w:val="center"/>
          </w:tcPr>
          <w:p w14:paraId="7041AA63">
            <w:pPr>
              <w:tabs>
                <w:tab w:val="center" w:pos="4153"/>
                <w:tab w:val="right" w:pos="8306"/>
              </w:tabs>
              <w:snapToGrid w:val="0"/>
              <w:jc w:val="center"/>
              <w:rPr>
                <w:rFonts w:ascii="宋体" w:hAnsi="宋体" w:cs="宋体"/>
                <w:highlight w:val="none"/>
              </w:rPr>
            </w:pPr>
            <w:r>
              <w:rPr>
                <w:rFonts w:hint="eastAsia" w:ascii="宋体" w:hAnsi="宋体" w:cs="宋体"/>
                <w:highlight w:val="none"/>
              </w:rPr>
              <w:t>网  址</w:t>
            </w:r>
          </w:p>
        </w:tc>
        <w:tc>
          <w:tcPr>
            <w:tcW w:w="2311" w:type="dxa"/>
            <w:noWrap/>
            <w:vAlign w:val="center"/>
          </w:tcPr>
          <w:p w14:paraId="2D0B4BB9">
            <w:pPr>
              <w:tabs>
                <w:tab w:val="center" w:pos="4153"/>
                <w:tab w:val="right" w:pos="8306"/>
              </w:tabs>
              <w:snapToGrid w:val="0"/>
              <w:jc w:val="center"/>
              <w:rPr>
                <w:rFonts w:ascii="宋体" w:hAnsi="宋体" w:cs="宋体"/>
                <w:highlight w:val="none"/>
              </w:rPr>
            </w:pPr>
          </w:p>
        </w:tc>
      </w:tr>
      <w:tr w14:paraId="11BC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2DB1D897">
            <w:pPr>
              <w:tabs>
                <w:tab w:val="center" w:pos="4153"/>
                <w:tab w:val="right" w:pos="8306"/>
              </w:tabs>
              <w:snapToGrid w:val="0"/>
              <w:jc w:val="center"/>
              <w:rPr>
                <w:rFonts w:ascii="宋体" w:hAnsi="宋体" w:cs="宋体"/>
                <w:highlight w:val="none"/>
              </w:rPr>
            </w:pPr>
            <w:r>
              <w:rPr>
                <w:rFonts w:hint="eastAsia" w:ascii="宋体" w:hAnsi="宋体" w:cs="宋体"/>
                <w:highlight w:val="none"/>
              </w:rPr>
              <w:t>组织结构</w:t>
            </w:r>
          </w:p>
        </w:tc>
        <w:tc>
          <w:tcPr>
            <w:tcW w:w="7020" w:type="dxa"/>
            <w:gridSpan w:val="4"/>
            <w:noWrap/>
            <w:vAlign w:val="center"/>
          </w:tcPr>
          <w:p w14:paraId="162669DB">
            <w:pPr>
              <w:tabs>
                <w:tab w:val="center" w:pos="4153"/>
                <w:tab w:val="right" w:pos="8306"/>
              </w:tabs>
              <w:snapToGrid w:val="0"/>
              <w:jc w:val="center"/>
              <w:rPr>
                <w:rFonts w:ascii="宋体" w:hAnsi="宋体" w:cs="宋体"/>
                <w:highlight w:val="none"/>
              </w:rPr>
            </w:pPr>
          </w:p>
        </w:tc>
      </w:tr>
      <w:tr w14:paraId="44BC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23FFE308">
            <w:pPr>
              <w:widowControl/>
              <w:jc w:val="left"/>
              <w:rPr>
                <w:rFonts w:ascii="宋体" w:hAnsi="宋体" w:cs="宋体"/>
                <w:highlight w:val="none"/>
              </w:rPr>
            </w:pPr>
            <w:r>
              <w:rPr>
                <w:rFonts w:hint="eastAsia" w:ascii="宋体" w:hAnsi="宋体" w:cs="宋体"/>
                <w:kern w:val="0"/>
                <w:sz w:val="24"/>
                <w:highlight w:val="none"/>
              </w:rPr>
              <w:t>法定代表人（分支机构为负责人）</w:t>
            </w:r>
          </w:p>
          <w:p w14:paraId="14313AEC">
            <w:pPr>
              <w:tabs>
                <w:tab w:val="center" w:pos="4153"/>
                <w:tab w:val="right" w:pos="8306"/>
              </w:tabs>
              <w:snapToGrid w:val="0"/>
              <w:jc w:val="center"/>
              <w:rPr>
                <w:rFonts w:ascii="宋体" w:hAnsi="宋体" w:cs="宋体"/>
                <w:highlight w:val="none"/>
              </w:rPr>
            </w:pPr>
          </w:p>
        </w:tc>
        <w:tc>
          <w:tcPr>
            <w:tcW w:w="897" w:type="dxa"/>
            <w:noWrap/>
            <w:vAlign w:val="center"/>
          </w:tcPr>
          <w:p w14:paraId="519E3152">
            <w:pPr>
              <w:tabs>
                <w:tab w:val="center" w:pos="4153"/>
                <w:tab w:val="right" w:pos="8306"/>
              </w:tabs>
              <w:snapToGrid w:val="0"/>
              <w:jc w:val="center"/>
              <w:rPr>
                <w:rFonts w:ascii="宋体" w:hAnsi="宋体" w:cs="宋体"/>
                <w:highlight w:val="none"/>
              </w:rPr>
            </w:pPr>
            <w:r>
              <w:rPr>
                <w:rFonts w:hint="eastAsia" w:ascii="宋体" w:hAnsi="宋体" w:cs="宋体"/>
                <w:highlight w:val="none"/>
              </w:rPr>
              <w:t>姓名</w:t>
            </w:r>
          </w:p>
        </w:tc>
        <w:tc>
          <w:tcPr>
            <w:tcW w:w="2357" w:type="dxa"/>
            <w:noWrap/>
            <w:vAlign w:val="center"/>
          </w:tcPr>
          <w:p w14:paraId="41C5CE16">
            <w:pPr>
              <w:tabs>
                <w:tab w:val="center" w:pos="4153"/>
                <w:tab w:val="right" w:pos="8306"/>
              </w:tabs>
              <w:snapToGrid w:val="0"/>
              <w:jc w:val="center"/>
              <w:rPr>
                <w:rFonts w:ascii="宋体" w:hAnsi="宋体" w:cs="宋体"/>
                <w:highlight w:val="none"/>
              </w:rPr>
            </w:pPr>
          </w:p>
        </w:tc>
        <w:tc>
          <w:tcPr>
            <w:tcW w:w="1455" w:type="dxa"/>
            <w:noWrap/>
            <w:vAlign w:val="center"/>
          </w:tcPr>
          <w:p w14:paraId="56D9D80C">
            <w:pPr>
              <w:tabs>
                <w:tab w:val="center" w:pos="4153"/>
                <w:tab w:val="right" w:pos="8306"/>
              </w:tabs>
              <w:snapToGrid w:val="0"/>
              <w:jc w:val="center"/>
              <w:rPr>
                <w:rFonts w:ascii="宋体" w:hAnsi="宋体" w:cs="宋体"/>
                <w:highlight w:val="none"/>
              </w:rPr>
            </w:pPr>
            <w:r>
              <w:rPr>
                <w:rFonts w:hint="eastAsia" w:ascii="宋体" w:hAnsi="宋体" w:cs="宋体"/>
                <w:highlight w:val="none"/>
              </w:rPr>
              <w:t>电话</w:t>
            </w:r>
          </w:p>
        </w:tc>
        <w:tc>
          <w:tcPr>
            <w:tcW w:w="2311" w:type="dxa"/>
            <w:noWrap/>
            <w:vAlign w:val="center"/>
          </w:tcPr>
          <w:p w14:paraId="2D546E24">
            <w:pPr>
              <w:tabs>
                <w:tab w:val="center" w:pos="4153"/>
                <w:tab w:val="right" w:pos="8306"/>
              </w:tabs>
              <w:snapToGrid w:val="0"/>
              <w:jc w:val="center"/>
              <w:rPr>
                <w:rFonts w:ascii="宋体" w:hAnsi="宋体" w:cs="宋体"/>
                <w:highlight w:val="none"/>
              </w:rPr>
            </w:pPr>
          </w:p>
        </w:tc>
      </w:tr>
      <w:tr w14:paraId="00BD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0BF06E8A">
            <w:pPr>
              <w:tabs>
                <w:tab w:val="center" w:pos="4153"/>
                <w:tab w:val="right" w:pos="8306"/>
              </w:tabs>
              <w:snapToGrid w:val="0"/>
              <w:jc w:val="center"/>
              <w:rPr>
                <w:rFonts w:ascii="宋体" w:hAnsi="宋体" w:cs="宋体"/>
                <w:highlight w:val="none"/>
              </w:rPr>
            </w:pPr>
            <w:r>
              <w:rPr>
                <w:rFonts w:hint="eastAsia" w:ascii="宋体" w:hAnsi="宋体" w:cs="宋体"/>
                <w:highlight w:val="none"/>
              </w:rPr>
              <w:t>成立时间</w:t>
            </w:r>
          </w:p>
        </w:tc>
        <w:tc>
          <w:tcPr>
            <w:tcW w:w="3254" w:type="dxa"/>
            <w:gridSpan w:val="2"/>
            <w:noWrap/>
            <w:vAlign w:val="center"/>
          </w:tcPr>
          <w:p w14:paraId="51AD3AB7">
            <w:pPr>
              <w:tabs>
                <w:tab w:val="center" w:pos="4153"/>
                <w:tab w:val="right" w:pos="8306"/>
              </w:tabs>
              <w:snapToGrid w:val="0"/>
              <w:jc w:val="center"/>
              <w:rPr>
                <w:rFonts w:ascii="宋体" w:hAnsi="宋体" w:cs="宋体"/>
                <w:highlight w:val="none"/>
              </w:rPr>
            </w:pPr>
          </w:p>
        </w:tc>
        <w:tc>
          <w:tcPr>
            <w:tcW w:w="1455" w:type="dxa"/>
            <w:noWrap/>
            <w:vAlign w:val="center"/>
          </w:tcPr>
          <w:p w14:paraId="62794756">
            <w:pPr>
              <w:tabs>
                <w:tab w:val="center" w:pos="4153"/>
                <w:tab w:val="right" w:pos="8306"/>
              </w:tabs>
              <w:snapToGrid w:val="0"/>
              <w:rPr>
                <w:rFonts w:ascii="宋体" w:hAnsi="宋体" w:cs="宋体"/>
                <w:highlight w:val="none"/>
              </w:rPr>
            </w:pPr>
            <w:r>
              <w:rPr>
                <w:rFonts w:hint="eastAsia" w:ascii="宋体" w:hAnsi="宋体" w:cs="宋体"/>
                <w:highlight w:val="none"/>
              </w:rPr>
              <w:t>员工总人数</w:t>
            </w:r>
          </w:p>
        </w:tc>
        <w:tc>
          <w:tcPr>
            <w:tcW w:w="2311" w:type="dxa"/>
            <w:noWrap/>
            <w:vAlign w:val="center"/>
          </w:tcPr>
          <w:p w14:paraId="6CAF3DC2">
            <w:pPr>
              <w:tabs>
                <w:tab w:val="center" w:pos="4153"/>
                <w:tab w:val="right" w:pos="8306"/>
              </w:tabs>
              <w:snapToGrid w:val="0"/>
              <w:rPr>
                <w:rFonts w:ascii="宋体" w:hAnsi="宋体" w:cs="宋体"/>
                <w:highlight w:val="none"/>
              </w:rPr>
            </w:pPr>
          </w:p>
        </w:tc>
      </w:tr>
      <w:tr w14:paraId="24A1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5C080814">
            <w:pPr>
              <w:tabs>
                <w:tab w:val="center" w:pos="4153"/>
                <w:tab w:val="right" w:pos="8306"/>
              </w:tabs>
              <w:snapToGrid w:val="0"/>
              <w:jc w:val="center"/>
              <w:rPr>
                <w:rFonts w:ascii="宋体" w:hAnsi="宋体" w:cs="宋体"/>
                <w:highlight w:val="none"/>
              </w:rPr>
            </w:pPr>
            <w:r>
              <w:rPr>
                <w:rFonts w:hint="eastAsia" w:ascii="宋体" w:hAnsi="宋体" w:cs="宋体"/>
                <w:highlight w:val="none"/>
              </w:rPr>
              <w:t>统一社会信用代码</w:t>
            </w:r>
          </w:p>
        </w:tc>
        <w:tc>
          <w:tcPr>
            <w:tcW w:w="7020" w:type="dxa"/>
            <w:gridSpan w:val="4"/>
            <w:noWrap/>
            <w:vAlign w:val="center"/>
          </w:tcPr>
          <w:p w14:paraId="460D6700">
            <w:pPr>
              <w:tabs>
                <w:tab w:val="center" w:pos="4153"/>
                <w:tab w:val="right" w:pos="8306"/>
              </w:tabs>
              <w:snapToGrid w:val="0"/>
              <w:jc w:val="center"/>
              <w:rPr>
                <w:rFonts w:ascii="宋体" w:hAnsi="宋体" w:cs="宋体"/>
                <w:highlight w:val="none"/>
              </w:rPr>
            </w:pPr>
          </w:p>
        </w:tc>
      </w:tr>
      <w:tr w14:paraId="54AC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09F9C136">
            <w:pPr>
              <w:tabs>
                <w:tab w:val="center" w:pos="4153"/>
                <w:tab w:val="right" w:pos="8306"/>
              </w:tabs>
              <w:snapToGrid w:val="0"/>
              <w:jc w:val="center"/>
              <w:rPr>
                <w:rFonts w:ascii="宋体" w:hAnsi="宋体" w:cs="宋体"/>
                <w:highlight w:val="none"/>
              </w:rPr>
            </w:pPr>
            <w:r>
              <w:rPr>
                <w:rFonts w:hint="eastAsia" w:ascii="宋体" w:hAnsi="宋体" w:cs="宋体"/>
                <w:highlight w:val="none"/>
              </w:rPr>
              <w:t>注册资金</w:t>
            </w:r>
          </w:p>
        </w:tc>
        <w:tc>
          <w:tcPr>
            <w:tcW w:w="7020" w:type="dxa"/>
            <w:gridSpan w:val="4"/>
            <w:noWrap/>
            <w:vAlign w:val="center"/>
          </w:tcPr>
          <w:p w14:paraId="7765CB10">
            <w:pPr>
              <w:tabs>
                <w:tab w:val="center" w:pos="4153"/>
                <w:tab w:val="right" w:pos="8306"/>
              </w:tabs>
              <w:snapToGrid w:val="0"/>
              <w:jc w:val="center"/>
              <w:rPr>
                <w:rFonts w:ascii="宋体" w:hAnsi="宋体" w:cs="宋体"/>
                <w:highlight w:val="none"/>
              </w:rPr>
            </w:pPr>
          </w:p>
        </w:tc>
      </w:tr>
      <w:tr w14:paraId="1900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496ED906">
            <w:pPr>
              <w:tabs>
                <w:tab w:val="center" w:pos="4153"/>
                <w:tab w:val="right" w:pos="8306"/>
              </w:tabs>
              <w:snapToGrid w:val="0"/>
              <w:jc w:val="center"/>
              <w:rPr>
                <w:rFonts w:ascii="宋体" w:hAnsi="宋体" w:cs="宋体"/>
                <w:highlight w:val="none"/>
              </w:rPr>
            </w:pPr>
            <w:r>
              <w:rPr>
                <w:rFonts w:hint="eastAsia" w:ascii="宋体" w:hAnsi="宋体" w:cs="宋体"/>
                <w:highlight w:val="none"/>
              </w:rPr>
              <w:t>开户银行</w:t>
            </w:r>
          </w:p>
        </w:tc>
        <w:tc>
          <w:tcPr>
            <w:tcW w:w="7020" w:type="dxa"/>
            <w:gridSpan w:val="4"/>
            <w:noWrap/>
            <w:vAlign w:val="center"/>
          </w:tcPr>
          <w:p w14:paraId="31663448">
            <w:pPr>
              <w:tabs>
                <w:tab w:val="center" w:pos="4153"/>
                <w:tab w:val="right" w:pos="8306"/>
              </w:tabs>
              <w:snapToGrid w:val="0"/>
              <w:jc w:val="center"/>
              <w:rPr>
                <w:rFonts w:ascii="宋体" w:hAnsi="宋体" w:cs="宋体"/>
                <w:highlight w:val="none"/>
              </w:rPr>
            </w:pPr>
          </w:p>
        </w:tc>
      </w:tr>
      <w:tr w14:paraId="32DF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155B6985">
            <w:pPr>
              <w:tabs>
                <w:tab w:val="center" w:pos="4153"/>
                <w:tab w:val="right" w:pos="8306"/>
              </w:tabs>
              <w:snapToGrid w:val="0"/>
              <w:jc w:val="center"/>
              <w:rPr>
                <w:rFonts w:ascii="宋体" w:hAnsi="宋体" w:cs="宋体"/>
                <w:highlight w:val="none"/>
              </w:rPr>
            </w:pPr>
            <w:r>
              <w:rPr>
                <w:rFonts w:hint="eastAsia" w:ascii="宋体" w:hAnsi="宋体" w:cs="宋体"/>
                <w:highlight w:val="none"/>
              </w:rPr>
              <w:t>账号</w:t>
            </w:r>
          </w:p>
        </w:tc>
        <w:tc>
          <w:tcPr>
            <w:tcW w:w="7020" w:type="dxa"/>
            <w:gridSpan w:val="4"/>
            <w:noWrap/>
            <w:vAlign w:val="center"/>
          </w:tcPr>
          <w:p w14:paraId="15FCCEE7">
            <w:pPr>
              <w:tabs>
                <w:tab w:val="center" w:pos="4153"/>
                <w:tab w:val="right" w:pos="8306"/>
              </w:tabs>
              <w:snapToGrid w:val="0"/>
              <w:jc w:val="center"/>
              <w:rPr>
                <w:rFonts w:ascii="宋体" w:hAnsi="宋体" w:cs="宋体"/>
                <w:highlight w:val="none"/>
              </w:rPr>
            </w:pPr>
          </w:p>
        </w:tc>
      </w:tr>
      <w:tr w14:paraId="4510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ign w:val="center"/>
          </w:tcPr>
          <w:p w14:paraId="4C81EEF0">
            <w:pPr>
              <w:tabs>
                <w:tab w:val="center" w:pos="4153"/>
                <w:tab w:val="right" w:pos="8306"/>
              </w:tabs>
              <w:snapToGrid w:val="0"/>
              <w:jc w:val="center"/>
              <w:rPr>
                <w:rFonts w:ascii="宋体" w:hAnsi="宋体" w:cs="宋体"/>
                <w:highlight w:val="none"/>
              </w:rPr>
            </w:pPr>
            <w:r>
              <w:rPr>
                <w:rFonts w:hint="eastAsia" w:ascii="宋体" w:hAnsi="宋体" w:cs="宋体"/>
                <w:highlight w:val="none"/>
              </w:rPr>
              <w:t>经营范围</w:t>
            </w:r>
          </w:p>
        </w:tc>
        <w:tc>
          <w:tcPr>
            <w:tcW w:w="7020" w:type="dxa"/>
            <w:gridSpan w:val="4"/>
            <w:noWrap/>
            <w:vAlign w:val="center"/>
          </w:tcPr>
          <w:p w14:paraId="3A87E504">
            <w:pPr>
              <w:tabs>
                <w:tab w:val="center" w:pos="4153"/>
                <w:tab w:val="right" w:pos="8306"/>
              </w:tabs>
              <w:snapToGrid w:val="0"/>
              <w:jc w:val="center"/>
              <w:rPr>
                <w:rFonts w:ascii="宋体" w:hAnsi="宋体" w:cs="宋体"/>
                <w:highlight w:val="none"/>
              </w:rPr>
            </w:pPr>
          </w:p>
        </w:tc>
      </w:tr>
      <w:tr w14:paraId="7D21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ign w:val="center"/>
          </w:tcPr>
          <w:p w14:paraId="6C66FB05">
            <w:pPr>
              <w:tabs>
                <w:tab w:val="center" w:pos="4153"/>
                <w:tab w:val="right" w:pos="8306"/>
              </w:tabs>
              <w:snapToGrid w:val="0"/>
              <w:jc w:val="center"/>
              <w:rPr>
                <w:rFonts w:ascii="宋体" w:hAnsi="宋体" w:cs="宋体"/>
                <w:highlight w:val="none"/>
              </w:rPr>
            </w:pPr>
            <w:r>
              <w:rPr>
                <w:rFonts w:hint="eastAsia" w:ascii="宋体" w:hAnsi="宋体" w:cs="宋体"/>
                <w:highlight w:val="none"/>
              </w:rPr>
              <w:t>备注</w:t>
            </w:r>
          </w:p>
        </w:tc>
        <w:tc>
          <w:tcPr>
            <w:tcW w:w="7020" w:type="dxa"/>
            <w:gridSpan w:val="4"/>
            <w:noWrap/>
            <w:vAlign w:val="center"/>
          </w:tcPr>
          <w:p w14:paraId="7BDA88BB">
            <w:pPr>
              <w:tabs>
                <w:tab w:val="center" w:pos="4153"/>
                <w:tab w:val="right" w:pos="8306"/>
              </w:tabs>
              <w:snapToGrid w:val="0"/>
              <w:jc w:val="center"/>
              <w:rPr>
                <w:rFonts w:ascii="宋体" w:hAnsi="宋体" w:cs="宋体"/>
                <w:highlight w:val="none"/>
              </w:rPr>
            </w:pPr>
          </w:p>
        </w:tc>
      </w:tr>
    </w:tbl>
    <w:p w14:paraId="7FAC02E5">
      <w:pPr>
        <w:keepNext/>
        <w:keepLines/>
        <w:spacing w:before="260" w:after="260" w:line="416" w:lineRule="auto"/>
        <w:jc w:val="center"/>
        <w:rPr>
          <w:rFonts w:ascii="宋体" w:hAnsi="宋体" w:cs="宋体"/>
          <w:b/>
          <w:bCs/>
          <w:kern w:val="0"/>
          <w:sz w:val="32"/>
          <w:szCs w:val="32"/>
          <w:highlight w:val="none"/>
        </w:rPr>
      </w:pPr>
      <w:r>
        <w:rPr>
          <w:rFonts w:hint="eastAsia" w:ascii="宋体" w:hAnsi="宋体" w:cs="宋体"/>
          <w:b/>
          <w:bCs/>
          <w:kern w:val="0"/>
          <w:sz w:val="32"/>
          <w:szCs w:val="32"/>
          <w:highlight w:val="none"/>
        </w:rPr>
        <w:br w:type="page"/>
      </w:r>
      <w:bookmarkStart w:id="57" w:name="_Toc31813"/>
      <w:bookmarkStart w:id="58" w:name="_Toc18038"/>
    </w:p>
    <w:p w14:paraId="3449FC57">
      <w:pPr>
        <w:pStyle w:val="19"/>
        <w:ind w:firstLine="0"/>
        <w:rPr>
          <w:b/>
          <w:bCs/>
          <w:w w:val="99"/>
          <w:sz w:val="24"/>
          <w:szCs w:val="24"/>
          <w:highlight w:val="none"/>
        </w:rPr>
      </w:pPr>
    </w:p>
    <w:p w14:paraId="648C6799">
      <w:pPr>
        <w:pStyle w:val="19"/>
        <w:jc w:val="center"/>
        <w:rPr>
          <w:b/>
          <w:bCs/>
          <w:sz w:val="24"/>
          <w:szCs w:val="24"/>
          <w:highlight w:val="none"/>
          <w:lang w:val="en-US"/>
        </w:rPr>
      </w:pPr>
      <w:r>
        <w:rPr>
          <w:rFonts w:hint="eastAsia"/>
          <w:b/>
          <w:bCs/>
          <w:sz w:val="24"/>
          <w:szCs w:val="24"/>
          <w:highlight w:val="none"/>
          <w:lang w:val="en-US"/>
        </w:rPr>
        <w:t>（二）叶县政府采购供应商信用承诺书</w:t>
      </w:r>
    </w:p>
    <w:p w14:paraId="04A76CCD">
      <w:pPr>
        <w:pStyle w:val="19"/>
        <w:spacing w:line="360" w:lineRule="auto"/>
        <w:jc w:val="both"/>
        <w:rPr>
          <w:sz w:val="24"/>
          <w:szCs w:val="24"/>
          <w:highlight w:val="none"/>
          <w:lang w:val="en-US"/>
        </w:rPr>
      </w:pPr>
    </w:p>
    <w:p w14:paraId="66F346D2">
      <w:pPr>
        <w:pStyle w:val="19"/>
        <w:spacing w:line="360" w:lineRule="auto"/>
        <w:jc w:val="both"/>
        <w:rPr>
          <w:sz w:val="24"/>
          <w:szCs w:val="24"/>
          <w:highlight w:val="none"/>
          <w:lang w:val="en-US"/>
        </w:rPr>
      </w:pPr>
      <w:r>
        <w:rPr>
          <w:rFonts w:hint="eastAsia"/>
          <w:sz w:val="24"/>
          <w:szCs w:val="24"/>
          <w:highlight w:val="none"/>
          <w:lang w:val="en-US"/>
        </w:rPr>
        <w:t>致(</w:t>
      </w:r>
      <w:r>
        <w:rPr>
          <w:rFonts w:hint="eastAsia"/>
          <w:sz w:val="24"/>
          <w:szCs w:val="24"/>
          <w:highlight w:val="none"/>
          <w:u w:val="single"/>
          <w:lang w:val="en-US"/>
        </w:rPr>
        <w:t>采购人或采购代理机构</w:t>
      </w:r>
      <w:r>
        <w:rPr>
          <w:rFonts w:hint="eastAsia"/>
          <w:sz w:val="24"/>
          <w:szCs w:val="24"/>
          <w:highlight w:val="none"/>
          <w:lang w:val="en-US"/>
        </w:rPr>
        <w:t>):</w:t>
      </w:r>
    </w:p>
    <w:p w14:paraId="0A3FDBC9">
      <w:pPr>
        <w:pStyle w:val="19"/>
        <w:spacing w:line="360" w:lineRule="auto"/>
        <w:jc w:val="both"/>
        <w:rPr>
          <w:rFonts w:hint="default" w:eastAsia="宋体"/>
          <w:sz w:val="24"/>
          <w:szCs w:val="24"/>
          <w:highlight w:val="none"/>
          <w:u w:val="single"/>
          <w:lang w:val="en-US" w:eastAsia="zh-CN"/>
        </w:rPr>
      </w:pPr>
      <w:r>
        <w:rPr>
          <w:rFonts w:hint="eastAsia"/>
          <w:sz w:val="24"/>
          <w:szCs w:val="24"/>
          <w:highlight w:val="none"/>
          <w:lang w:val="en-US"/>
        </w:rPr>
        <w:t>单位名称:</w:t>
      </w:r>
      <w:r>
        <w:rPr>
          <w:rFonts w:hint="eastAsia"/>
          <w:sz w:val="24"/>
          <w:szCs w:val="24"/>
          <w:highlight w:val="none"/>
          <w:u w:val="single"/>
          <w:lang w:val="en-US" w:eastAsia="zh-CN"/>
        </w:rPr>
        <w:t xml:space="preserve">           </w:t>
      </w:r>
    </w:p>
    <w:p w14:paraId="79FC6062">
      <w:pPr>
        <w:pStyle w:val="19"/>
        <w:spacing w:line="360" w:lineRule="auto"/>
        <w:jc w:val="both"/>
        <w:rPr>
          <w:sz w:val="24"/>
          <w:szCs w:val="24"/>
          <w:highlight w:val="none"/>
          <w:lang w:val="en-US"/>
        </w:rPr>
      </w:pPr>
      <w:r>
        <w:rPr>
          <w:rFonts w:hint="eastAsia"/>
          <w:sz w:val="24"/>
          <w:szCs w:val="24"/>
          <w:highlight w:val="none"/>
          <w:lang w:val="en-US"/>
        </w:rPr>
        <w:t>统一社会信用代码:</w:t>
      </w:r>
      <w:r>
        <w:rPr>
          <w:rFonts w:hint="eastAsia" w:ascii="Times New Roman" w:eastAsia="宋体"/>
          <w:sz w:val="24"/>
          <w:szCs w:val="24"/>
          <w:highlight w:val="none"/>
          <w:u w:val="single"/>
          <w:lang w:val="en-US" w:eastAsia="zh-CN"/>
        </w:rPr>
        <w:t xml:space="preserve">           </w:t>
      </w:r>
    </w:p>
    <w:p w14:paraId="5DDA6639">
      <w:pPr>
        <w:pStyle w:val="19"/>
        <w:spacing w:line="360" w:lineRule="auto"/>
        <w:jc w:val="both"/>
        <w:rPr>
          <w:sz w:val="24"/>
          <w:szCs w:val="24"/>
          <w:highlight w:val="none"/>
          <w:lang w:val="en-US"/>
        </w:rPr>
      </w:pPr>
      <w:r>
        <w:rPr>
          <w:rFonts w:hint="eastAsia"/>
          <w:sz w:val="24"/>
          <w:szCs w:val="24"/>
          <w:highlight w:val="none"/>
          <w:lang w:val="en-US"/>
        </w:rPr>
        <w:t>法定代表人:</w:t>
      </w:r>
      <w:r>
        <w:rPr>
          <w:rFonts w:hint="eastAsia" w:ascii="Times New Roman" w:eastAsia="宋体"/>
          <w:sz w:val="24"/>
          <w:szCs w:val="24"/>
          <w:highlight w:val="none"/>
          <w:u w:val="single"/>
          <w:lang w:val="en-US" w:eastAsia="zh-CN"/>
        </w:rPr>
        <w:t xml:space="preserve">           </w:t>
      </w:r>
    </w:p>
    <w:p w14:paraId="5E83F4AE">
      <w:pPr>
        <w:pStyle w:val="19"/>
        <w:spacing w:line="360" w:lineRule="auto"/>
        <w:jc w:val="both"/>
        <w:rPr>
          <w:sz w:val="24"/>
          <w:szCs w:val="24"/>
          <w:highlight w:val="none"/>
          <w:lang w:val="en-US"/>
        </w:rPr>
      </w:pPr>
      <w:r>
        <w:rPr>
          <w:rFonts w:hint="eastAsia"/>
          <w:sz w:val="24"/>
          <w:szCs w:val="24"/>
          <w:highlight w:val="none"/>
          <w:lang w:val="en-US"/>
        </w:rPr>
        <w:t>联系地址和电话:</w:t>
      </w:r>
      <w:r>
        <w:rPr>
          <w:rFonts w:hint="eastAsia" w:ascii="Times New Roman" w:eastAsia="宋体"/>
          <w:sz w:val="24"/>
          <w:szCs w:val="24"/>
          <w:highlight w:val="none"/>
          <w:u w:val="single"/>
          <w:lang w:val="en-US" w:eastAsia="zh-CN"/>
        </w:rPr>
        <w:t xml:space="preserve">           </w:t>
      </w:r>
    </w:p>
    <w:p w14:paraId="713669D1">
      <w:pPr>
        <w:pStyle w:val="19"/>
        <w:spacing w:line="360" w:lineRule="auto"/>
        <w:jc w:val="both"/>
        <w:rPr>
          <w:sz w:val="24"/>
          <w:szCs w:val="24"/>
          <w:highlight w:val="none"/>
          <w:lang w:val="en-US"/>
        </w:rPr>
      </w:pPr>
      <w:r>
        <w:rPr>
          <w:rFonts w:hint="eastAsia"/>
          <w:sz w:val="24"/>
          <w:szCs w:val="24"/>
          <w:highlight w:val="none"/>
          <w:lang w:val="en-US"/>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7A83D2DA">
      <w:pPr>
        <w:pStyle w:val="19"/>
        <w:spacing w:line="360" w:lineRule="auto"/>
        <w:jc w:val="both"/>
        <w:rPr>
          <w:sz w:val="24"/>
          <w:szCs w:val="24"/>
          <w:highlight w:val="none"/>
          <w:lang w:val="en-US"/>
        </w:rPr>
      </w:pPr>
      <w:r>
        <w:rPr>
          <w:rFonts w:hint="eastAsia"/>
          <w:sz w:val="24"/>
          <w:szCs w:val="24"/>
          <w:highlight w:val="none"/>
          <w:lang w:val="en-US"/>
        </w:rPr>
        <w:t>(一)具有独立承担民事责任的能力;</w:t>
      </w:r>
    </w:p>
    <w:p w14:paraId="7A2ACEB7">
      <w:pPr>
        <w:pStyle w:val="19"/>
        <w:spacing w:line="360" w:lineRule="auto"/>
        <w:jc w:val="both"/>
        <w:rPr>
          <w:sz w:val="24"/>
          <w:szCs w:val="24"/>
          <w:highlight w:val="none"/>
          <w:lang w:val="en-US"/>
        </w:rPr>
      </w:pPr>
      <w:r>
        <w:rPr>
          <w:rFonts w:hint="eastAsia"/>
          <w:sz w:val="24"/>
          <w:szCs w:val="24"/>
          <w:highlight w:val="none"/>
          <w:lang w:val="en-US"/>
        </w:rPr>
        <w:t>(二)具有良好的商业信誉和健全的财务会计制度;</w:t>
      </w:r>
    </w:p>
    <w:p w14:paraId="172927D8">
      <w:pPr>
        <w:pStyle w:val="19"/>
        <w:spacing w:line="360" w:lineRule="auto"/>
        <w:jc w:val="both"/>
        <w:rPr>
          <w:sz w:val="24"/>
          <w:szCs w:val="24"/>
          <w:highlight w:val="none"/>
          <w:lang w:val="en-US"/>
        </w:rPr>
      </w:pPr>
      <w:r>
        <w:rPr>
          <w:rFonts w:hint="eastAsia"/>
          <w:sz w:val="24"/>
          <w:szCs w:val="24"/>
          <w:highlight w:val="none"/>
          <w:lang w:val="en-US"/>
        </w:rPr>
        <w:t>(三)具有履行合同所必需的设备和专业技术能力;</w:t>
      </w:r>
    </w:p>
    <w:p w14:paraId="3314F25D">
      <w:pPr>
        <w:pStyle w:val="19"/>
        <w:spacing w:line="360" w:lineRule="auto"/>
        <w:jc w:val="both"/>
        <w:rPr>
          <w:sz w:val="24"/>
          <w:szCs w:val="24"/>
          <w:highlight w:val="none"/>
          <w:lang w:val="en-US"/>
        </w:rPr>
      </w:pPr>
      <w:r>
        <w:rPr>
          <w:rFonts w:hint="eastAsia"/>
          <w:sz w:val="24"/>
          <w:szCs w:val="24"/>
          <w:highlight w:val="none"/>
          <w:lang w:val="en-US"/>
        </w:rPr>
        <w:t>(四)有依法缴纳税收和社会保障资金的良好记录;</w:t>
      </w:r>
    </w:p>
    <w:p w14:paraId="27C90EB8">
      <w:pPr>
        <w:pStyle w:val="19"/>
        <w:spacing w:line="360" w:lineRule="auto"/>
        <w:jc w:val="both"/>
        <w:rPr>
          <w:sz w:val="24"/>
          <w:szCs w:val="24"/>
          <w:highlight w:val="none"/>
          <w:lang w:val="en-US"/>
        </w:rPr>
      </w:pPr>
      <w:r>
        <w:rPr>
          <w:rFonts w:hint="eastAsia"/>
          <w:sz w:val="24"/>
          <w:szCs w:val="24"/>
          <w:highlight w:val="none"/>
          <w:lang w:val="en-US"/>
        </w:rPr>
        <w:t>(五)参加政府采购活动前三年内，在经营活动中没有重大违法记录;</w:t>
      </w:r>
    </w:p>
    <w:p w14:paraId="6F9BC449">
      <w:pPr>
        <w:pStyle w:val="19"/>
        <w:spacing w:line="360" w:lineRule="auto"/>
        <w:jc w:val="both"/>
        <w:rPr>
          <w:sz w:val="24"/>
          <w:szCs w:val="24"/>
          <w:highlight w:val="none"/>
          <w:lang w:val="en-US"/>
        </w:rPr>
      </w:pPr>
      <w:r>
        <w:rPr>
          <w:rFonts w:hint="eastAsia"/>
          <w:sz w:val="24"/>
          <w:szCs w:val="24"/>
          <w:highlight w:val="none"/>
          <w:lang w:val="en-US"/>
        </w:rPr>
        <w:t>(六)法律，行政法规规定的其他条件。</w:t>
      </w:r>
    </w:p>
    <w:p w14:paraId="4739D284">
      <w:pPr>
        <w:pStyle w:val="19"/>
        <w:spacing w:line="360" w:lineRule="auto"/>
        <w:jc w:val="both"/>
        <w:rPr>
          <w:sz w:val="24"/>
          <w:szCs w:val="24"/>
          <w:highlight w:val="none"/>
          <w:lang w:val="en-US"/>
        </w:rPr>
      </w:pPr>
      <w:r>
        <w:rPr>
          <w:rFonts w:hint="eastAsia"/>
          <w:sz w:val="24"/>
          <w:szCs w:val="24"/>
          <w:highlight w:val="none"/>
          <w:lang w:val="en-US"/>
        </w:rPr>
        <w:t>我单位保证上述承诺事项的真实性，如有弄虚作假或其他违法违规行为，愿意承担一切法律责任，并承担因此所造成的一切损失。</w:t>
      </w:r>
    </w:p>
    <w:p w14:paraId="16B721CD">
      <w:pPr>
        <w:pStyle w:val="19"/>
        <w:spacing w:line="360" w:lineRule="auto"/>
        <w:jc w:val="both"/>
        <w:rPr>
          <w:sz w:val="24"/>
          <w:szCs w:val="24"/>
          <w:highlight w:val="none"/>
          <w:lang w:val="en-US"/>
        </w:rPr>
      </w:pPr>
      <w:r>
        <w:rPr>
          <w:rFonts w:hint="eastAsia"/>
          <w:sz w:val="24"/>
          <w:szCs w:val="24"/>
          <w:highlight w:val="none"/>
          <w:lang w:val="en-US"/>
        </w:rPr>
        <w:t>供应商(企业电子章):</w:t>
      </w:r>
    </w:p>
    <w:p w14:paraId="609D3B57">
      <w:pPr>
        <w:pStyle w:val="19"/>
        <w:spacing w:line="360" w:lineRule="auto"/>
        <w:jc w:val="both"/>
        <w:rPr>
          <w:sz w:val="24"/>
          <w:szCs w:val="24"/>
          <w:highlight w:val="none"/>
          <w:lang w:val="en-US"/>
        </w:rPr>
      </w:pPr>
      <w:r>
        <w:rPr>
          <w:rFonts w:hint="eastAsia"/>
          <w:sz w:val="24"/>
          <w:szCs w:val="24"/>
          <w:highlight w:val="none"/>
          <w:lang w:val="en-US"/>
        </w:rPr>
        <w:t>法定代表人或授权代表(签字或电子印章):</w:t>
      </w:r>
    </w:p>
    <w:p w14:paraId="0A44B64F">
      <w:pPr>
        <w:pStyle w:val="19"/>
        <w:spacing w:line="360" w:lineRule="auto"/>
        <w:jc w:val="both"/>
        <w:rPr>
          <w:sz w:val="24"/>
          <w:szCs w:val="24"/>
          <w:highlight w:val="none"/>
          <w:lang w:val="en-US"/>
        </w:rPr>
      </w:pPr>
      <w:r>
        <w:rPr>
          <w:rFonts w:hint="eastAsia"/>
          <w:sz w:val="24"/>
          <w:szCs w:val="24"/>
          <w:highlight w:val="none"/>
          <w:lang w:val="en-US"/>
        </w:rPr>
        <w:t xml:space="preserve">日期:年月日 </w:t>
      </w:r>
    </w:p>
    <w:p w14:paraId="007B90F6">
      <w:pPr>
        <w:pStyle w:val="19"/>
        <w:spacing w:line="360" w:lineRule="auto"/>
        <w:jc w:val="both"/>
        <w:rPr>
          <w:sz w:val="24"/>
          <w:szCs w:val="24"/>
          <w:highlight w:val="none"/>
          <w:lang w:val="en-US"/>
        </w:rPr>
      </w:pPr>
      <w:r>
        <w:rPr>
          <w:rFonts w:hint="eastAsia"/>
          <w:sz w:val="24"/>
          <w:szCs w:val="24"/>
          <w:highlight w:val="none"/>
          <w:lang w:val="en-US"/>
        </w:rPr>
        <w:t>注:1.供应商须在响应文件中按此模板提供承诺函，未提供视为未实质性响应采购文件要求，按无效响应处理。</w:t>
      </w:r>
    </w:p>
    <w:p w14:paraId="4061CA6D">
      <w:pPr>
        <w:pStyle w:val="19"/>
        <w:spacing w:line="360" w:lineRule="auto"/>
        <w:jc w:val="both"/>
        <w:rPr>
          <w:b/>
          <w:bCs/>
          <w:highlight w:val="none"/>
        </w:rPr>
      </w:pPr>
      <w:r>
        <w:rPr>
          <w:rFonts w:hint="eastAsia"/>
          <w:sz w:val="24"/>
          <w:szCs w:val="18"/>
          <w:highlight w:val="none"/>
          <w:lang w:val="en-US"/>
        </w:rPr>
        <w:t>2.供应商的法定代表人或者授权代表的签字或盖章应真实、有效,如由授权代表签字或盖章的,应提供“法定代表人授权书”</w:t>
      </w:r>
    </w:p>
    <w:p w14:paraId="4B00A58A">
      <w:pPr>
        <w:rPr>
          <w:rFonts w:ascii="宋体" w:hAnsi="宋体" w:cs="宋体"/>
          <w:b/>
          <w:kern w:val="0"/>
          <w:sz w:val="28"/>
          <w:szCs w:val="28"/>
          <w:highlight w:val="none"/>
        </w:rPr>
      </w:pPr>
      <w:r>
        <w:rPr>
          <w:rFonts w:hint="eastAsia" w:ascii="宋体" w:hAnsi="宋体" w:cs="宋体"/>
          <w:b/>
          <w:kern w:val="0"/>
          <w:sz w:val="28"/>
          <w:szCs w:val="28"/>
          <w:highlight w:val="none"/>
        </w:rPr>
        <w:br w:type="page"/>
      </w:r>
    </w:p>
    <w:p w14:paraId="5BE3ABA5">
      <w:pPr>
        <w:keepNext/>
        <w:keepLines/>
        <w:spacing w:before="260" w:after="260" w:line="416" w:lineRule="auto"/>
        <w:jc w:val="center"/>
        <w:rPr>
          <w:rFonts w:ascii="宋体" w:hAnsi="宋体" w:cs="宋体"/>
          <w:b/>
          <w:kern w:val="0"/>
          <w:sz w:val="28"/>
          <w:szCs w:val="28"/>
          <w:highlight w:val="none"/>
        </w:rPr>
      </w:pPr>
      <w:r>
        <w:rPr>
          <w:rFonts w:hint="eastAsia" w:ascii="宋体" w:hAnsi="宋体" w:cs="宋体"/>
          <w:b/>
          <w:kern w:val="0"/>
          <w:sz w:val="28"/>
          <w:szCs w:val="28"/>
          <w:highlight w:val="none"/>
        </w:rPr>
        <w:t>（三）其他资格证明材料</w:t>
      </w:r>
    </w:p>
    <w:p w14:paraId="6AC5CE58">
      <w:pPr>
        <w:keepNext/>
        <w:keepLines/>
        <w:spacing w:before="260" w:after="260" w:line="416" w:lineRule="auto"/>
        <w:jc w:val="center"/>
        <w:rPr>
          <w:rFonts w:ascii="宋体" w:hAnsi="宋体" w:cs="宋体"/>
          <w:sz w:val="28"/>
          <w:szCs w:val="28"/>
          <w:highlight w:val="none"/>
        </w:rPr>
      </w:pPr>
      <w:r>
        <w:rPr>
          <w:rFonts w:hint="eastAsia" w:ascii="宋体" w:hAnsi="宋体" w:cs="宋体"/>
          <w:b/>
          <w:kern w:val="0"/>
          <w:sz w:val="28"/>
          <w:szCs w:val="28"/>
          <w:highlight w:val="none"/>
        </w:rPr>
        <w:br w:type="page"/>
      </w:r>
      <w:bookmarkEnd w:id="57"/>
      <w:bookmarkEnd w:id="58"/>
      <w:bookmarkStart w:id="59" w:name="_Toc13398"/>
      <w:r>
        <w:rPr>
          <w:rFonts w:hint="eastAsia" w:ascii="宋体" w:hAnsi="宋体" w:cs="宋体"/>
          <w:b/>
          <w:bCs/>
          <w:sz w:val="36"/>
          <w:szCs w:val="28"/>
          <w:highlight w:val="none"/>
        </w:rPr>
        <w:t>六、</w:t>
      </w:r>
      <w:bookmarkEnd w:id="59"/>
      <w:r>
        <w:rPr>
          <w:rFonts w:hint="eastAsia" w:ascii="宋体" w:hAnsi="宋体" w:cs="宋体"/>
          <w:b/>
          <w:bCs/>
          <w:spacing w:val="-1"/>
          <w:sz w:val="32"/>
          <w:szCs w:val="32"/>
          <w:highlight w:val="none"/>
        </w:rPr>
        <w:t>技术要求偏离表</w:t>
      </w:r>
    </w:p>
    <w:p w14:paraId="1A02916E">
      <w:pPr>
        <w:spacing w:line="117" w:lineRule="exact"/>
        <w:rPr>
          <w:rFonts w:ascii="宋体" w:hAnsi="宋体" w:cs="宋体"/>
          <w:highlight w:val="none"/>
        </w:rPr>
      </w:pPr>
    </w:p>
    <w:tbl>
      <w:tblPr>
        <w:tblStyle w:val="4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0"/>
        <w:gridCol w:w="964"/>
        <w:gridCol w:w="2096"/>
        <w:gridCol w:w="2029"/>
        <w:gridCol w:w="1157"/>
        <w:gridCol w:w="1442"/>
      </w:tblGrid>
      <w:tr w14:paraId="72D0A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79" w:type="pct"/>
            <w:noWrap/>
          </w:tcPr>
          <w:p w14:paraId="44442227">
            <w:pPr>
              <w:pStyle w:val="42"/>
              <w:spacing w:before="147" w:line="229" w:lineRule="auto"/>
              <w:jc w:val="center"/>
              <w:rPr>
                <w:sz w:val="20"/>
                <w:szCs w:val="20"/>
                <w:highlight w:val="none"/>
              </w:rPr>
            </w:pPr>
            <w:r>
              <w:rPr>
                <w:rFonts w:hint="eastAsia"/>
                <w:spacing w:val="5"/>
                <w:sz w:val="20"/>
                <w:szCs w:val="20"/>
                <w:highlight w:val="none"/>
              </w:rPr>
              <w:t>序号</w:t>
            </w:r>
          </w:p>
        </w:tc>
        <w:tc>
          <w:tcPr>
            <w:tcW w:w="579" w:type="pct"/>
            <w:noWrap/>
          </w:tcPr>
          <w:p w14:paraId="6D7EB0A2">
            <w:pPr>
              <w:pStyle w:val="42"/>
              <w:spacing w:before="147" w:line="228" w:lineRule="auto"/>
              <w:jc w:val="center"/>
              <w:rPr>
                <w:spacing w:val="8"/>
                <w:sz w:val="20"/>
                <w:szCs w:val="20"/>
                <w:highlight w:val="none"/>
                <w:lang w:eastAsia="zh-CN"/>
              </w:rPr>
            </w:pPr>
            <w:r>
              <w:rPr>
                <w:rFonts w:hint="eastAsia"/>
                <w:spacing w:val="8"/>
                <w:sz w:val="20"/>
                <w:szCs w:val="20"/>
                <w:highlight w:val="none"/>
                <w:lang w:eastAsia="zh-CN"/>
              </w:rPr>
              <w:t>名称</w:t>
            </w:r>
          </w:p>
        </w:tc>
        <w:tc>
          <w:tcPr>
            <w:tcW w:w="1259" w:type="pct"/>
            <w:noWrap/>
          </w:tcPr>
          <w:p w14:paraId="5540C348">
            <w:pPr>
              <w:pStyle w:val="42"/>
              <w:spacing w:before="147" w:line="228" w:lineRule="auto"/>
              <w:jc w:val="center"/>
              <w:rPr>
                <w:sz w:val="20"/>
                <w:szCs w:val="20"/>
                <w:highlight w:val="none"/>
              </w:rPr>
            </w:pPr>
            <w:r>
              <w:rPr>
                <w:rFonts w:hint="eastAsia"/>
                <w:spacing w:val="8"/>
                <w:sz w:val="20"/>
                <w:szCs w:val="20"/>
                <w:highlight w:val="none"/>
                <w:lang w:eastAsia="zh-CN"/>
              </w:rPr>
              <w:t>招标</w:t>
            </w:r>
            <w:r>
              <w:rPr>
                <w:rFonts w:hint="eastAsia"/>
                <w:spacing w:val="8"/>
                <w:sz w:val="20"/>
                <w:szCs w:val="20"/>
                <w:highlight w:val="none"/>
              </w:rPr>
              <w:t>文件要求</w:t>
            </w:r>
          </w:p>
        </w:tc>
        <w:tc>
          <w:tcPr>
            <w:tcW w:w="1219" w:type="pct"/>
            <w:noWrap/>
          </w:tcPr>
          <w:p w14:paraId="6DED8011">
            <w:pPr>
              <w:pStyle w:val="42"/>
              <w:spacing w:before="147" w:line="228" w:lineRule="auto"/>
              <w:jc w:val="center"/>
              <w:rPr>
                <w:sz w:val="20"/>
                <w:szCs w:val="20"/>
                <w:highlight w:val="none"/>
                <w:lang w:eastAsia="zh-CN"/>
              </w:rPr>
            </w:pPr>
            <w:r>
              <w:rPr>
                <w:rFonts w:hint="eastAsia"/>
                <w:sz w:val="20"/>
                <w:szCs w:val="20"/>
                <w:highlight w:val="none"/>
                <w:lang w:eastAsia="zh-CN"/>
              </w:rPr>
              <w:t>投标文件响应内容</w:t>
            </w:r>
          </w:p>
        </w:tc>
        <w:tc>
          <w:tcPr>
            <w:tcW w:w="695" w:type="pct"/>
            <w:noWrap/>
          </w:tcPr>
          <w:p w14:paraId="34AF00FB">
            <w:pPr>
              <w:pStyle w:val="42"/>
              <w:spacing w:before="147" w:line="228" w:lineRule="auto"/>
              <w:jc w:val="center"/>
              <w:rPr>
                <w:sz w:val="20"/>
                <w:szCs w:val="20"/>
                <w:highlight w:val="none"/>
              </w:rPr>
            </w:pPr>
            <w:r>
              <w:rPr>
                <w:rFonts w:hint="eastAsia"/>
                <w:spacing w:val="7"/>
                <w:sz w:val="20"/>
                <w:szCs w:val="20"/>
                <w:highlight w:val="none"/>
              </w:rPr>
              <w:t>偏离情况</w:t>
            </w:r>
          </w:p>
        </w:tc>
        <w:tc>
          <w:tcPr>
            <w:tcW w:w="866" w:type="pct"/>
            <w:noWrap/>
          </w:tcPr>
          <w:p w14:paraId="0DA52888">
            <w:pPr>
              <w:pStyle w:val="42"/>
              <w:spacing w:before="147" w:line="228" w:lineRule="auto"/>
              <w:jc w:val="center"/>
              <w:rPr>
                <w:sz w:val="20"/>
                <w:szCs w:val="20"/>
                <w:highlight w:val="none"/>
              </w:rPr>
            </w:pPr>
            <w:r>
              <w:rPr>
                <w:rFonts w:hint="eastAsia"/>
                <w:spacing w:val="8"/>
                <w:sz w:val="20"/>
                <w:szCs w:val="20"/>
                <w:highlight w:val="none"/>
              </w:rPr>
              <w:t>偏离情况说明</w:t>
            </w:r>
          </w:p>
        </w:tc>
      </w:tr>
      <w:tr w14:paraId="780DF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ign w:val="center"/>
          </w:tcPr>
          <w:p w14:paraId="02EA7C70">
            <w:pPr>
              <w:pStyle w:val="42"/>
              <w:spacing w:before="176" w:line="189" w:lineRule="auto"/>
              <w:jc w:val="center"/>
              <w:rPr>
                <w:sz w:val="20"/>
                <w:szCs w:val="20"/>
                <w:highlight w:val="none"/>
              </w:rPr>
            </w:pPr>
            <w:r>
              <w:rPr>
                <w:rFonts w:hint="eastAsia"/>
                <w:sz w:val="20"/>
                <w:szCs w:val="20"/>
                <w:highlight w:val="none"/>
              </w:rPr>
              <w:t>1</w:t>
            </w:r>
          </w:p>
        </w:tc>
        <w:tc>
          <w:tcPr>
            <w:tcW w:w="579" w:type="pct"/>
            <w:noWrap/>
            <w:vAlign w:val="center"/>
          </w:tcPr>
          <w:p w14:paraId="42D5211F">
            <w:pPr>
              <w:jc w:val="center"/>
              <w:rPr>
                <w:rFonts w:ascii="宋体" w:hAnsi="宋体" w:cs="宋体"/>
                <w:highlight w:val="none"/>
              </w:rPr>
            </w:pPr>
          </w:p>
        </w:tc>
        <w:tc>
          <w:tcPr>
            <w:tcW w:w="1259" w:type="pct"/>
            <w:noWrap/>
            <w:vAlign w:val="center"/>
          </w:tcPr>
          <w:p w14:paraId="50F6B1CF">
            <w:pPr>
              <w:jc w:val="center"/>
              <w:rPr>
                <w:rFonts w:ascii="宋体" w:hAnsi="宋体" w:cs="宋体"/>
                <w:highlight w:val="none"/>
              </w:rPr>
            </w:pPr>
          </w:p>
        </w:tc>
        <w:tc>
          <w:tcPr>
            <w:tcW w:w="1219" w:type="pct"/>
            <w:noWrap/>
            <w:vAlign w:val="center"/>
          </w:tcPr>
          <w:p w14:paraId="71E07A07">
            <w:pPr>
              <w:jc w:val="center"/>
              <w:rPr>
                <w:rFonts w:ascii="宋体" w:hAnsi="宋体" w:cs="宋体"/>
                <w:highlight w:val="none"/>
              </w:rPr>
            </w:pPr>
          </w:p>
        </w:tc>
        <w:tc>
          <w:tcPr>
            <w:tcW w:w="695" w:type="pct"/>
            <w:noWrap/>
            <w:vAlign w:val="center"/>
          </w:tcPr>
          <w:p w14:paraId="1717029C">
            <w:pPr>
              <w:jc w:val="center"/>
              <w:rPr>
                <w:rFonts w:ascii="宋体" w:hAnsi="宋体" w:cs="宋体"/>
                <w:highlight w:val="none"/>
              </w:rPr>
            </w:pPr>
          </w:p>
        </w:tc>
        <w:tc>
          <w:tcPr>
            <w:tcW w:w="866" w:type="pct"/>
            <w:noWrap/>
            <w:vAlign w:val="center"/>
          </w:tcPr>
          <w:p w14:paraId="4F7EC9F0">
            <w:pPr>
              <w:jc w:val="center"/>
              <w:rPr>
                <w:rFonts w:ascii="宋体" w:hAnsi="宋体" w:cs="宋体"/>
                <w:highlight w:val="none"/>
              </w:rPr>
            </w:pPr>
          </w:p>
        </w:tc>
      </w:tr>
      <w:tr w14:paraId="6FFF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ign w:val="center"/>
          </w:tcPr>
          <w:p w14:paraId="2CACECFC">
            <w:pPr>
              <w:pStyle w:val="42"/>
              <w:spacing w:before="178" w:line="189" w:lineRule="auto"/>
              <w:jc w:val="center"/>
              <w:rPr>
                <w:sz w:val="20"/>
                <w:szCs w:val="20"/>
                <w:highlight w:val="none"/>
              </w:rPr>
            </w:pPr>
            <w:r>
              <w:rPr>
                <w:rFonts w:hint="eastAsia"/>
                <w:sz w:val="20"/>
                <w:szCs w:val="20"/>
                <w:highlight w:val="none"/>
              </w:rPr>
              <w:t>2</w:t>
            </w:r>
          </w:p>
        </w:tc>
        <w:tc>
          <w:tcPr>
            <w:tcW w:w="579" w:type="pct"/>
            <w:noWrap/>
            <w:vAlign w:val="center"/>
          </w:tcPr>
          <w:p w14:paraId="279E0C06">
            <w:pPr>
              <w:jc w:val="center"/>
              <w:rPr>
                <w:rFonts w:ascii="宋体" w:hAnsi="宋体" w:cs="宋体"/>
                <w:highlight w:val="none"/>
              </w:rPr>
            </w:pPr>
          </w:p>
        </w:tc>
        <w:tc>
          <w:tcPr>
            <w:tcW w:w="1259" w:type="pct"/>
            <w:noWrap/>
            <w:vAlign w:val="center"/>
          </w:tcPr>
          <w:p w14:paraId="77EC36E1">
            <w:pPr>
              <w:jc w:val="center"/>
              <w:rPr>
                <w:rFonts w:ascii="宋体" w:hAnsi="宋体" w:cs="宋体"/>
                <w:highlight w:val="none"/>
              </w:rPr>
            </w:pPr>
          </w:p>
        </w:tc>
        <w:tc>
          <w:tcPr>
            <w:tcW w:w="1219" w:type="pct"/>
            <w:noWrap/>
            <w:vAlign w:val="center"/>
          </w:tcPr>
          <w:p w14:paraId="3913584A">
            <w:pPr>
              <w:jc w:val="center"/>
              <w:rPr>
                <w:rFonts w:ascii="宋体" w:hAnsi="宋体" w:cs="宋体"/>
                <w:highlight w:val="none"/>
              </w:rPr>
            </w:pPr>
          </w:p>
        </w:tc>
        <w:tc>
          <w:tcPr>
            <w:tcW w:w="695" w:type="pct"/>
            <w:noWrap/>
            <w:vAlign w:val="center"/>
          </w:tcPr>
          <w:p w14:paraId="784D30B1">
            <w:pPr>
              <w:jc w:val="center"/>
              <w:rPr>
                <w:rFonts w:ascii="宋体" w:hAnsi="宋体" w:cs="宋体"/>
                <w:highlight w:val="none"/>
              </w:rPr>
            </w:pPr>
          </w:p>
        </w:tc>
        <w:tc>
          <w:tcPr>
            <w:tcW w:w="866" w:type="pct"/>
            <w:noWrap/>
            <w:vAlign w:val="center"/>
          </w:tcPr>
          <w:p w14:paraId="4808221A">
            <w:pPr>
              <w:jc w:val="center"/>
              <w:rPr>
                <w:rFonts w:ascii="宋体" w:hAnsi="宋体" w:cs="宋体"/>
                <w:highlight w:val="none"/>
              </w:rPr>
            </w:pPr>
          </w:p>
        </w:tc>
      </w:tr>
      <w:tr w14:paraId="33258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ign w:val="center"/>
          </w:tcPr>
          <w:p w14:paraId="24B50089">
            <w:pPr>
              <w:pStyle w:val="42"/>
              <w:spacing w:before="179" w:line="189" w:lineRule="auto"/>
              <w:jc w:val="center"/>
              <w:rPr>
                <w:sz w:val="20"/>
                <w:szCs w:val="20"/>
                <w:highlight w:val="none"/>
              </w:rPr>
            </w:pPr>
            <w:r>
              <w:rPr>
                <w:rFonts w:hint="eastAsia"/>
                <w:sz w:val="20"/>
                <w:szCs w:val="20"/>
                <w:highlight w:val="none"/>
              </w:rPr>
              <w:t>3</w:t>
            </w:r>
          </w:p>
        </w:tc>
        <w:tc>
          <w:tcPr>
            <w:tcW w:w="579" w:type="pct"/>
            <w:noWrap/>
            <w:vAlign w:val="center"/>
          </w:tcPr>
          <w:p w14:paraId="0FE1759F">
            <w:pPr>
              <w:jc w:val="center"/>
              <w:rPr>
                <w:rFonts w:ascii="宋体" w:hAnsi="宋体" w:cs="宋体"/>
                <w:highlight w:val="none"/>
              </w:rPr>
            </w:pPr>
          </w:p>
        </w:tc>
        <w:tc>
          <w:tcPr>
            <w:tcW w:w="1259" w:type="pct"/>
            <w:noWrap/>
            <w:vAlign w:val="center"/>
          </w:tcPr>
          <w:p w14:paraId="2F9C20D0">
            <w:pPr>
              <w:jc w:val="center"/>
              <w:rPr>
                <w:rFonts w:ascii="宋体" w:hAnsi="宋体" w:cs="宋体"/>
                <w:highlight w:val="none"/>
              </w:rPr>
            </w:pPr>
          </w:p>
        </w:tc>
        <w:tc>
          <w:tcPr>
            <w:tcW w:w="1219" w:type="pct"/>
            <w:noWrap/>
            <w:vAlign w:val="center"/>
          </w:tcPr>
          <w:p w14:paraId="09E9F543">
            <w:pPr>
              <w:jc w:val="center"/>
              <w:rPr>
                <w:rFonts w:ascii="宋体" w:hAnsi="宋体" w:cs="宋体"/>
                <w:highlight w:val="none"/>
              </w:rPr>
            </w:pPr>
          </w:p>
        </w:tc>
        <w:tc>
          <w:tcPr>
            <w:tcW w:w="695" w:type="pct"/>
            <w:noWrap/>
            <w:vAlign w:val="center"/>
          </w:tcPr>
          <w:p w14:paraId="2886F3E4">
            <w:pPr>
              <w:jc w:val="center"/>
              <w:rPr>
                <w:rFonts w:ascii="宋体" w:hAnsi="宋体" w:cs="宋体"/>
                <w:highlight w:val="none"/>
              </w:rPr>
            </w:pPr>
          </w:p>
        </w:tc>
        <w:tc>
          <w:tcPr>
            <w:tcW w:w="866" w:type="pct"/>
            <w:noWrap/>
            <w:vAlign w:val="center"/>
          </w:tcPr>
          <w:p w14:paraId="0B85D0B9">
            <w:pPr>
              <w:jc w:val="center"/>
              <w:rPr>
                <w:rFonts w:ascii="宋体" w:hAnsi="宋体" w:cs="宋体"/>
                <w:highlight w:val="none"/>
              </w:rPr>
            </w:pPr>
          </w:p>
        </w:tc>
      </w:tr>
      <w:tr w14:paraId="52F62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ign w:val="center"/>
          </w:tcPr>
          <w:p w14:paraId="172B6537">
            <w:pPr>
              <w:pStyle w:val="42"/>
              <w:spacing w:before="179" w:line="189" w:lineRule="auto"/>
              <w:jc w:val="center"/>
              <w:rPr>
                <w:sz w:val="20"/>
                <w:szCs w:val="20"/>
                <w:highlight w:val="none"/>
              </w:rPr>
            </w:pPr>
            <w:r>
              <w:rPr>
                <w:rFonts w:hint="eastAsia"/>
                <w:sz w:val="20"/>
                <w:szCs w:val="20"/>
                <w:highlight w:val="none"/>
              </w:rPr>
              <w:t>4</w:t>
            </w:r>
          </w:p>
        </w:tc>
        <w:tc>
          <w:tcPr>
            <w:tcW w:w="579" w:type="pct"/>
            <w:noWrap/>
            <w:vAlign w:val="center"/>
          </w:tcPr>
          <w:p w14:paraId="618EC88B">
            <w:pPr>
              <w:jc w:val="center"/>
              <w:rPr>
                <w:rFonts w:ascii="宋体" w:hAnsi="宋体" w:cs="宋体"/>
                <w:highlight w:val="none"/>
              </w:rPr>
            </w:pPr>
          </w:p>
        </w:tc>
        <w:tc>
          <w:tcPr>
            <w:tcW w:w="1259" w:type="pct"/>
            <w:noWrap/>
            <w:vAlign w:val="center"/>
          </w:tcPr>
          <w:p w14:paraId="3357390D">
            <w:pPr>
              <w:jc w:val="center"/>
              <w:rPr>
                <w:rFonts w:ascii="宋体" w:hAnsi="宋体" w:cs="宋体"/>
                <w:highlight w:val="none"/>
              </w:rPr>
            </w:pPr>
          </w:p>
        </w:tc>
        <w:tc>
          <w:tcPr>
            <w:tcW w:w="1219" w:type="pct"/>
            <w:noWrap/>
            <w:vAlign w:val="center"/>
          </w:tcPr>
          <w:p w14:paraId="15365AE5">
            <w:pPr>
              <w:jc w:val="center"/>
              <w:rPr>
                <w:rFonts w:ascii="宋体" w:hAnsi="宋体" w:cs="宋体"/>
                <w:highlight w:val="none"/>
              </w:rPr>
            </w:pPr>
          </w:p>
        </w:tc>
        <w:tc>
          <w:tcPr>
            <w:tcW w:w="695" w:type="pct"/>
            <w:noWrap/>
            <w:vAlign w:val="center"/>
          </w:tcPr>
          <w:p w14:paraId="3790EA8B">
            <w:pPr>
              <w:jc w:val="center"/>
              <w:rPr>
                <w:rFonts w:ascii="宋体" w:hAnsi="宋体" w:cs="宋体"/>
                <w:highlight w:val="none"/>
              </w:rPr>
            </w:pPr>
          </w:p>
        </w:tc>
        <w:tc>
          <w:tcPr>
            <w:tcW w:w="866" w:type="pct"/>
            <w:noWrap/>
            <w:vAlign w:val="center"/>
          </w:tcPr>
          <w:p w14:paraId="3DF1621A">
            <w:pPr>
              <w:jc w:val="center"/>
              <w:rPr>
                <w:rFonts w:ascii="宋体" w:hAnsi="宋体" w:cs="宋体"/>
                <w:highlight w:val="none"/>
              </w:rPr>
            </w:pPr>
          </w:p>
        </w:tc>
      </w:tr>
      <w:tr w14:paraId="74431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ign w:val="center"/>
          </w:tcPr>
          <w:p w14:paraId="6FAE446A">
            <w:pPr>
              <w:pStyle w:val="42"/>
              <w:spacing w:before="181" w:line="187" w:lineRule="auto"/>
              <w:jc w:val="center"/>
              <w:rPr>
                <w:sz w:val="20"/>
                <w:szCs w:val="20"/>
                <w:highlight w:val="none"/>
              </w:rPr>
            </w:pPr>
            <w:r>
              <w:rPr>
                <w:rFonts w:hint="eastAsia"/>
                <w:sz w:val="20"/>
                <w:szCs w:val="20"/>
                <w:highlight w:val="none"/>
              </w:rPr>
              <w:t>5</w:t>
            </w:r>
          </w:p>
        </w:tc>
        <w:tc>
          <w:tcPr>
            <w:tcW w:w="579" w:type="pct"/>
            <w:noWrap/>
            <w:vAlign w:val="center"/>
          </w:tcPr>
          <w:p w14:paraId="2F17C173">
            <w:pPr>
              <w:jc w:val="center"/>
              <w:rPr>
                <w:rFonts w:ascii="宋体" w:hAnsi="宋体" w:cs="宋体"/>
                <w:highlight w:val="none"/>
              </w:rPr>
            </w:pPr>
          </w:p>
        </w:tc>
        <w:tc>
          <w:tcPr>
            <w:tcW w:w="1259" w:type="pct"/>
            <w:noWrap/>
            <w:vAlign w:val="center"/>
          </w:tcPr>
          <w:p w14:paraId="57AD6B5B">
            <w:pPr>
              <w:jc w:val="center"/>
              <w:rPr>
                <w:rFonts w:ascii="宋体" w:hAnsi="宋体" w:cs="宋体"/>
                <w:highlight w:val="none"/>
              </w:rPr>
            </w:pPr>
          </w:p>
        </w:tc>
        <w:tc>
          <w:tcPr>
            <w:tcW w:w="1219" w:type="pct"/>
            <w:noWrap/>
            <w:vAlign w:val="center"/>
          </w:tcPr>
          <w:p w14:paraId="030152FC">
            <w:pPr>
              <w:jc w:val="center"/>
              <w:rPr>
                <w:rFonts w:ascii="宋体" w:hAnsi="宋体" w:cs="宋体"/>
                <w:highlight w:val="none"/>
              </w:rPr>
            </w:pPr>
          </w:p>
        </w:tc>
        <w:tc>
          <w:tcPr>
            <w:tcW w:w="695" w:type="pct"/>
            <w:noWrap/>
            <w:vAlign w:val="center"/>
          </w:tcPr>
          <w:p w14:paraId="0D344348">
            <w:pPr>
              <w:jc w:val="center"/>
              <w:rPr>
                <w:rFonts w:ascii="宋体" w:hAnsi="宋体" w:cs="宋体"/>
                <w:highlight w:val="none"/>
              </w:rPr>
            </w:pPr>
          </w:p>
        </w:tc>
        <w:tc>
          <w:tcPr>
            <w:tcW w:w="866" w:type="pct"/>
            <w:noWrap/>
            <w:vAlign w:val="center"/>
          </w:tcPr>
          <w:p w14:paraId="02484383">
            <w:pPr>
              <w:jc w:val="center"/>
              <w:rPr>
                <w:rFonts w:ascii="宋体" w:hAnsi="宋体" w:cs="宋体"/>
                <w:highlight w:val="none"/>
              </w:rPr>
            </w:pPr>
          </w:p>
        </w:tc>
      </w:tr>
      <w:tr w14:paraId="5553F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ign w:val="center"/>
          </w:tcPr>
          <w:p w14:paraId="1D4D5C24">
            <w:pPr>
              <w:pStyle w:val="42"/>
              <w:spacing w:before="179" w:line="189" w:lineRule="auto"/>
              <w:jc w:val="center"/>
              <w:rPr>
                <w:sz w:val="20"/>
                <w:szCs w:val="20"/>
                <w:highlight w:val="none"/>
              </w:rPr>
            </w:pPr>
            <w:r>
              <w:rPr>
                <w:rFonts w:hint="eastAsia"/>
                <w:sz w:val="20"/>
                <w:szCs w:val="20"/>
                <w:highlight w:val="none"/>
              </w:rPr>
              <w:t>6</w:t>
            </w:r>
          </w:p>
        </w:tc>
        <w:tc>
          <w:tcPr>
            <w:tcW w:w="579" w:type="pct"/>
            <w:noWrap/>
            <w:vAlign w:val="center"/>
          </w:tcPr>
          <w:p w14:paraId="313C2F76">
            <w:pPr>
              <w:jc w:val="center"/>
              <w:rPr>
                <w:rFonts w:ascii="宋体" w:hAnsi="宋体" w:cs="宋体"/>
                <w:highlight w:val="none"/>
              </w:rPr>
            </w:pPr>
          </w:p>
        </w:tc>
        <w:tc>
          <w:tcPr>
            <w:tcW w:w="1259" w:type="pct"/>
            <w:noWrap/>
            <w:vAlign w:val="center"/>
          </w:tcPr>
          <w:p w14:paraId="3FBD9A22">
            <w:pPr>
              <w:jc w:val="center"/>
              <w:rPr>
                <w:rFonts w:ascii="宋体" w:hAnsi="宋体" w:cs="宋体"/>
                <w:highlight w:val="none"/>
              </w:rPr>
            </w:pPr>
          </w:p>
        </w:tc>
        <w:tc>
          <w:tcPr>
            <w:tcW w:w="1219" w:type="pct"/>
            <w:noWrap/>
            <w:vAlign w:val="center"/>
          </w:tcPr>
          <w:p w14:paraId="4B5D3BC2">
            <w:pPr>
              <w:jc w:val="center"/>
              <w:rPr>
                <w:rFonts w:ascii="宋体" w:hAnsi="宋体" w:cs="宋体"/>
                <w:highlight w:val="none"/>
              </w:rPr>
            </w:pPr>
          </w:p>
        </w:tc>
        <w:tc>
          <w:tcPr>
            <w:tcW w:w="695" w:type="pct"/>
            <w:noWrap/>
            <w:vAlign w:val="center"/>
          </w:tcPr>
          <w:p w14:paraId="1CC24797">
            <w:pPr>
              <w:jc w:val="center"/>
              <w:rPr>
                <w:rFonts w:ascii="宋体" w:hAnsi="宋体" w:cs="宋体"/>
                <w:highlight w:val="none"/>
              </w:rPr>
            </w:pPr>
          </w:p>
        </w:tc>
        <w:tc>
          <w:tcPr>
            <w:tcW w:w="866" w:type="pct"/>
            <w:noWrap/>
            <w:vAlign w:val="center"/>
          </w:tcPr>
          <w:p w14:paraId="1141B341">
            <w:pPr>
              <w:jc w:val="center"/>
              <w:rPr>
                <w:rFonts w:ascii="宋体" w:hAnsi="宋体" w:cs="宋体"/>
                <w:highlight w:val="none"/>
              </w:rPr>
            </w:pPr>
          </w:p>
        </w:tc>
      </w:tr>
      <w:tr w14:paraId="22D18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ign w:val="center"/>
          </w:tcPr>
          <w:p w14:paraId="48955A2D">
            <w:pPr>
              <w:pStyle w:val="42"/>
              <w:spacing w:before="182" w:line="187" w:lineRule="auto"/>
              <w:jc w:val="center"/>
              <w:rPr>
                <w:sz w:val="20"/>
                <w:szCs w:val="20"/>
                <w:highlight w:val="none"/>
              </w:rPr>
            </w:pPr>
            <w:r>
              <w:rPr>
                <w:rFonts w:hint="eastAsia"/>
                <w:sz w:val="20"/>
                <w:szCs w:val="20"/>
                <w:highlight w:val="none"/>
              </w:rPr>
              <w:t>7</w:t>
            </w:r>
          </w:p>
        </w:tc>
        <w:tc>
          <w:tcPr>
            <w:tcW w:w="579" w:type="pct"/>
            <w:noWrap/>
            <w:vAlign w:val="center"/>
          </w:tcPr>
          <w:p w14:paraId="018311DB">
            <w:pPr>
              <w:jc w:val="center"/>
              <w:rPr>
                <w:rFonts w:ascii="宋体" w:hAnsi="宋体" w:cs="宋体"/>
                <w:highlight w:val="none"/>
              </w:rPr>
            </w:pPr>
          </w:p>
        </w:tc>
        <w:tc>
          <w:tcPr>
            <w:tcW w:w="1259" w:type="pct"/>
            <w:noWrap/>
            <w:vAlign w:val="center"/>
          </w:tcPr>
          <w:p w14:paraId="190DA1C3">
            <w:pPr>
              <w:jc w:val="center"/>
              <w:rPr>
                <w:rFonts w:ascii="宋体" w:hAnsi="宋体" w:cs="宋体"/>
                <w:highlight w:val="none"/>
              </w:rPr>
            </w:pPr>
          </w:p>
        </w:tc>
        <w:tc>
          <w:tcPr>
            <w:tcW w:w="1219" w:type="pct"/>
            <w:noWrap/>
            <w:vAlign w:val="center"/>
          </w:tcPr>
          <w:p w14:paraId="72FDCA57">
            <w:pPr>
              <w:jc w:val="center"/>
              <w:rPr>
                <w:rFonts w:ascii="宋体" w:hAnsi="宋体" w:cs="宋体"/>
                <w:highlight w:val="none"/>
              </w:rPr>
            </w:pPr>
          </w:p>
        </w:tc>
        <w:tc>
          <w:tcPr>
            <w:tcW w:w="695" w:type="pct"/>
            <w:noWrap/>
            <w:vAlign w:val="center"/>
          </w:tcPr>
          <w:p w14:paraId="21EBF60A">
            <w:pPr>
              <w:jc w:val="center"/>
              <w:rPr>
                <w:rFonts w:ascii="宋体" w:hAnsi="宋体" w:cs="宋体"/>
                <w:highlight w:val="none"/>
              </w:rPr>
            </w:pPr>
          </w:p>
        </w:tc>
        <w:tc>
          <w:tcPr>
            <w:tcW w:w="866" w:type="pct"/>
            <w:noWrap/>
            <w:vAlign w:val="center"/>
          </w:tcPr>
          <w:p w14:paraId="0F5E0706">
            <w:pPr>
              <w:jc w:val="center"/>
              <w:rPr>
                <w:rFonts w:ascii="宋体" w:hAnsi="宋体" w:cs="宋体"/>
                <w:highlight w:val="none"/>
              </w:rPr>
            </w:pPr>
          </w:p>
        </w:tc>
      </w:tr>
      <w:tr w14:paraId="1F250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79" w:type="pct"/>
            <w:noWrap/>
            <w:vAlign w:val="center"/>
          </w:tcPr>
          <w:p w14:paraId="0292497A">
            <w:pPr>
              <w:jc w:val="center"/>
              <w:rPr>
                <w:rFonts w:ascii="宋体" w:hAnsi="宋体" w:cs="宋体"/>
                <w:highlight w:val="none"/>
              </w:rPr>
            </w:pPr>
          </w:p>
          <w:p w14:paraId="193AFED8">
            <w:pPr>
              <w:pStyle w:val="42"/>
              <w:spacing w:before="65" w:line="84" w:lineRule="exact"/>
              <w:ind w:left="230"/>
              <w:jc w:val="center"/>
              <w:rPr>
                <w:sz w:val="20"/>
                <w:szCs w:val="20"/>
                <w:highlight w:val="none"/>
              </w:rPr>
            </w:pPr>
            <w:r>
              <w:rPr>
                <w:rFonts w:hint="eastAsia"/>
                <w:spacing w:val="3"/>
                <w:position w:val="1"/>
                <w:sz w:val="20"/>
                <w:szCs w:val="20"/>
                <w:highlight w:val="none"/>
              </w:rPr>
              <w:t>...</w:t>
            </w:r>
          </w:p>
        </w:tc>
        <w:tc>
          <w:tcPr>
            <w:tcW w:w="579" w:type="pct"/>
            <w:noWrap/>
            <w:vAlign w:val="center"/>
          </w:tcPr>
          <w:p w14:paraId="2BEF11DD">
            <w:pPr>
              <w:jc w:val="center"/>
              <w:rPr>
                <w:rFonts w:ascii="宋体" w:hAnsi="宋体" w:cs="宋体"/>
                <w:highlight w:val="none"/>
              </w:rPr>
            </w:pPr>
          </w:p>
        </w:tc>
        <w:tc>
          <w:tcPr>
            <w:tcW w:w="1259" w:type="pct"/>
            <w:noWrap/>
            <w:vAlign w:val="center"/>
          </w:tcPr>
          <w:p w14:paraId="4D9D4A43">
            <w:pPr>
              <w:jc w:val="center"/>
              <w:rPr>
                <w:rFonts w:ascii="宋体" w:hAnsi="宋体" w:cs="宋体"/>
                <w:highlight w:val="none"/>
              </w:rPr>
            </w:pPr>
          </w:p>
        </w:tc>
        <w:tc>
          <w:tcPr>
            <w:tcW w:w="1219" w:type="pct"/>
            <w:noWrap/>
            <w:vAlign w:val="center"/>
          </w:tcPr>
          <w:p w14:paraId="41FA0447">
            <w:pPr>
              <w:jc w:val="center"/>
              <w:rPr>
                <w:rFonts w:ascii="宋体" w:hAnsi="宋体" w:cs="宋体"/>
                <w:highlight w:val="none"/>
              </w:rPr>
            </w:pPr>
          </w:p>
        </w:tc>
        <w:tc>
          <w:tcPr>
            <w:tcW w:w="695" w:type="pct"/>
            <w:noWrap/>
            <w:vAlign w:val="center"/>
          </w:tcPr>
          <w:p w14:paraId="02315809">
            <w:pPr>
              <w:jc w:val="center"/>
              <w:rPr>
                <w:rFonts w:ascii="宋体" w:hAnsi="宋体" w:cs="宋体"/>
                <w:highlight w:val="none"/>
              </w:rPr>
            </w:pPr>
          </w:p>
        </w:tc>
        <w:tc>
          <w:tcPr>
            <w:tcW w:w="866" w:type="pct"/>
            <w:noWrap/>
            <w:vAlign w:val="center"/>
          </w:tcPr>
          <w:p w14:paraId="6712C435">
            <w:pPr>
              <w:jc w:val="center"/>
              <w:rPr>
                <w:rFonts w:ascii="宋体" w:hAnsi="宋体" w:cs="宋体"/>
                <w:highlight w:val="none"/>
              </w:rPr>
            </w:pPr>
          </w:p>
        </w:tc>
      </w:tr>
    </w:tbl>
    <w:p w14:paraId="2C0C30D2">
      <w:pPr>
        <w:spacing w:before="129" w:line="228" w:lineRule="auto"/>
        <w:ind w:left="4"/>
        <w:rPr>
          <w:rFonts w:ascii="宋体" w:hAnsi="宋体" w:cs="宋体"/>
          <w:sz w:val="20"/>
          <w:szCs w:val="20"/>
          <w:highlight w:val="none"/>
        </w:rPr>
      </w:pPr>
      <w:r>
        <w:rPr>
          <w:rFonts w:hint="eastAsia" w:ascii="宋体" w:hAnsi="宋体" w:cs="宋体"/>
          <w:spacing w:val="2"/>
          <w:sz w:val="20"/>
          <w:szCs w:val="20"/>
          <w:highlight w:val="none"/>
        </w:rPr>
        <w:t>说明：</w:t>
      </w:r>
    </w:p>
    <w:p w14:paraId="475C4724">
      <w:pPr>
        <w:spacing w:before="221" w:line="432" w:lineRule="auto"/>
        <w:ind w:left="2" w:firstLine="421"/>
        <w:rPr>
          <w:rFonts w:ascii="宋体" w:hAnsi="宋体" w:cs="宋体"/>
          <w:b/>
          <w:bCs/>
          <w:spacing w:val="9"/>
          <w:sz w:val="20"/>
          <w:szCs w:val="20"/>
          <w:highlight w:val="none"/>
        </w:rPr>
      </w:pPr>
      <w:r>
        <w:rPr>
          <w:rFonts w:hint="eastAsia" w:ascii="宋体" w:hAnsi="宋体" w:cs="宋体"/>
          <w:b/>
          <w:bCs/>
          <w:spacing w:val="9"/>
          <w:sz w:val="20"/>
          <w:szCs w:val="20"/>
          <w:highlight w:val="none"/>
        </w:rPr>
        <w:t>1、按照“第五章采购内容及要求”应在上表中分别列明，填写偏离说明（注明正偏差或无偏差或负偏差情况），保证除列出的偏差外无其他偏差。</w:t>
      </w:r>
    </w:p>
    <w:p w14:paraId="2FA14B8D">
      <w:pPr>
        <w:spacing w:before="221" w:line="432" w:lineRule="auto"/>
        <w:ind w:left="2" w:firstLine="421"/>
        <w:rPr>
          <w:rFonts w:ascii="宋体" w:hAnsi="宋体" w:cs="宋体"/>
          <w:b/>
          <w:bCs/>
          <w:spacing w:val="9"/>
          <w:sz w:val="20"/>
          <w:szCs w:val="20"/>
          <w:highlight w:val="none"/>
        </w:rPr>
      </w:pPr>
      <w:r>
        <w:rPr>
          <w:rFonts w:hint="eastAsia" w:ascii="宋体" w:hAnsi="宋体" w:cs="宋体"/>
          <w:b/>
          <w:bCs/>
          <w:spacing w:val="9"/>
          <w:sz w:val="20"/>
          <w:szCs w:val="20"/>
          <w:highlight w:val="none"/>
        </w:rPr>
        <w:t>2、无偏差时可不填列具体内容，只在“偏离说明”栏内注明“无偏差”。</w:t>
      </w:r>
    </w:p>
    <w:p w14:paraId="70C12EC8">
      <w:pPr>
        <w:spacing w:before="221" w:line="432" w:lineRule="auto"/>
        <w:ind w:left="2" w:firstLine="421"/>
        <w:rPr>
          <w:rFonts w:ascii="宋体" w:hAnsi="宋体" w:cs="宋体"/>
          <w:spacing w:val="9"/>
          <w:sz w:val="20"/>
          <w:szCs w:val="20"/>
          <w:highlight w:val="none"/>
        </w:rPr>
      </w:pPr>
      <w:r>
        <w:rPr>
          <w:rFonts w:hint="eastAsia" w:ascii="宋体" w:hAnsi="宋体" w:cs="宋体"/>
          <w:spacing w:val="9"/>
          <w:sz w:val="20"/>
          <w:szCs w:val="20"/>
          <w:highlight w:val="none"/>
        </w:rPr>
        <w:t>注：此表可以根据需求自行调整或扩展；</w:t>
      </w:r>
    </w:p>
    <w:p w14:paraId="6B4805AD">
      <w:pPr>
        <w:pStyle w:val="3"/>
        <w:spacing w:line="311" w:lineRule="auto"/>
        <w:rPr>
          <w:highlight w:val="none"/>
        </w:rPr>
      </w:pPr>
    </w:p>
    <w:p w14:paraId="21E93397">
      <w:pPr>
        <w:spacing w:before="66" w:line="341" w:lineRule="auto"/>
        <w:ind w:left="1" w:firstLine="1980" w:firstLineChars="900"/>
        <w:rPr>
          <w:rFonts w:ascii="宋体" w:hAnsi="宋体" w:cs="宋体"/>
          <w:sz w:val="20"/>
          <w:szCs w:val="20"/>
          <w:highlight w:val="none"/>
        </w:rPr>
      </w:pPr>
      <w:r>
        <w:rPr>
          <w:rFonts w:hint="eastAsia" w:ascii="宋体" w:hAnsi="宋体" w:cs="宋体"/>
          <w:spacing w:val="10"/>
          <w:sz w:val="20"/>
          <w:szCs w:val="20"/>
          <w:highlight w:val="none"/>
        </w:rPr>
        <w:t>供应商名称</w:t>
      </w:r>
      <w:r>
        <w:rPr>
          <w:rFonts w:hint="eastAsia" w:ascii="宋体" w:hAnsi="宋体" w:cs="宋体"/>
          <w:sz w:val="20"/>
          <w:szCs w:val="20"/>
          <w:highlight w:val="none"/>
        </w:rPr>
        <w:t>：（</w:t>
      </w:r>
      <w:r>
        <w:rPr>
          <w:rFonts w:hint="eastAsia" w:ascii="宋体" w:hAnsi="宋体" w:cs="宋体"/>
          <w:spacing w:val="10"/>
          <w:sz w:val="20"/>
          <w:szCs w:val="20"/>
          <w:highlight w:val="none"/>
        </w:rPr>
        <w:t>电子签章）</w:t>
      </w:r>
    </w:p>
    <w:p w14:paraId="2E83E4F3">
      <w:pPr>
        <w:spacing w:before="260" w:line="228" w:lineRule="auto"/>
        <w:ind w:left="37" w:firstLine="2820" w:firstLineChars="1500"/>
        <w:rPr>
          <w:rFonts w:ascii="宋体" w:hAnsi="宋体" w:cs="宋体"/>
          <w:sz w:val="20"/>
          <w:szCs w:val="20"/>
          <w:highlight w:val="none"/>
        </w:rPr>
      </w:pPr>
      <w:r>
        <w:rPr>
          <w:rFonts w:hint="eastAsia" w:ascii="宋体" w:hAnsi="宋体" w:cs="宋体"/>
          <w:spacing w:val="-6"/>
          <w:sz w:val="20"/>
          <w:szCs w:val="20"/>
          <w:highlight w:val="none"/>
        </w:rPr>
        <w:t>日期：年月日</w:t>
      </w:r>
    </w:p>
    <w:p w14:paraId="157672FD">
      <w:pPr>
        <w:spacing w:line="228" w:lineRule="auto"/>
        <w:rPr>
          <w:rFonts w:ascii="宋体" w:hAnsi="宋体" w:cs="宋体"/>
          <w:sz w:val="20"/>
          <w:szCs w:val="20"/>
          <w:highlight w:val="none"/>
        </w:rPr>
      </w:pPr>
    </w:p>
    <w:p w14:paraId="55A89402">
      <w:pPr>
        <w:spacing w:line="228" w:lineRule="auto"/>
        <w:rPr>
          <w:rFonts w:ascii="宋体" w:hAnsi="宋体" w:cs="宋体"/>
          <w:sz w:val="20"/>
          <w:szCs w:val="20"/>
          <w:highlight w:val="none"/>
        </w:rPr>
      </w:pPr>
    </w:p>
    <w:p w14:paraId="7603BD13">
      <w:pPr>
        <w:numPr>
          <w:ilvl w:val="0"/>
          <w:numId w:val="15"/>
        </w:numPr>
        <w:spacing w:line="228" w:lineRule="auto"/>
        <w:jc w:val="center"/>
        <w:rPr>
          <w:rFonts w:ascii="宋体" w:hAnsi="宋体" w:cs="宋体"/>
          <w:b/>
          <w:bCs/>
          <w:sz w:val="40"/>
          <w:szCs w:val="40"/>
          <w:highlight w:val="none"/>
        </w:rPr>
      </w:pPr>
      <w:r>
        <w:rPr>
          <w:rFonts w:hint="eastAsia" w:ascii="宋体" w:hAnsi="宋体" w:cs="宋体"/>
          <w:sz w:val="20"/>
          <w:szCs w:val="20"/>
          <w:highlight w:val="none"/>
        </w:rPr>
        <w:br w:type="page"/>
      </w:r>
      <w:r>
        <w:rPr>
          <w:rFonts w:hint="eastAsia" w:ascii="宋体" w:hAnsi="宋体" w:cs="宋体"/>
          <w:b/>
          <w:bCs/>
          <w:sz w:val="40"/>
          <w:szCs w:val="40"/>
          <w:highlight w:val="none"/>
          <w:lang w:val="en-US" w:eastAsia="zh-CN"/>
        </w:rPr>
        <w:t>技术</w:t>
      </w:r>
      <w:r>
        <w:rPr>
          <w:rFonts w:hint="eastAsia" w:ascii="宋体" w:hAnsi="宋体" w:cs="宋体"/>
          <w:b/>
          <w:bCs/>
          <w:sz w:val="40"/>
          <w:szCs w:val="40"/>
          <w:highlight w:val="none"/>
        </w:rPr>
        <w:t>部分</w:t>
      </w:r>
    </w:p>
    <w:p w14:paraId="23B7A34A">
      <w:pPr>
        <w:pStyle w:val="2"/>
        <w:rPr>
          <w:rFonts w:hint="eastAsia" w:ascii="宋体" w:hAnsi="宋体" w:cs="宋体"/>
          <w:b/>
          <w:bCs/>
          <w:sz w:val="40"/>
          <w:szCs w:val="40"/>
          <w:highlight w:val="none"/>
        </w:rPr>
      </w:pPr>
    </w:p>
    <w:p w14:paraId="7FB30E4F">
      <w:pPr>
        <w:pStyle w:val="7"/>
        <w:rPr>
          <w:rFonts w:hint="eastAsia" w:ascii="宋体" w:hAnsi="宋体" w:cs="宋体"/>
          <w:b/>
          <w:bCs/>
          <w:sz w:val="40"/>
          <w:szCs w:val="40"/>
          <w:highlight w:val="none"/>
        </w:rPr>
      </w:pPr>
    </w:p>
    <w:p w14:paraId="0410AA53">
      <w:pPr>
        <w:rPr>
          <w:rFonts w:hint="eastAsia" w:ascii="宋体" w:hAnsi="宋体" w:cs="宋体"/>
          <w:b/>
          <w:bCs/>
          <w:sz w:val="40"/>
          <w:szCs w:val="40"/>
          <w:highlight w:val="none"/>
        </w:rPr>
      </w:pPr>
    </w:p>
    <w:p w14:paraId="7DF91896">
      <w:pPr>
        <w:rPr>
          <w:rFonts w:hint="eastAsia" w:ascii="宋体" w:hAnsi="宋体" w:cs="宋体"/>
          <w:b/>
          <w:bCs/>
          <w:sz w:val="40"/>
          <w:szCs w:val="40"/>
          <w:highlight w:val="none"/>
        </w:rPr>
      </w:pPr>
      <w:r>
        <w:rPr>
          <w:rFonts w:hint="eastAsia" w:ascii="宋体" w:hAnsi="宋体" w:cs="宋体"/>
          <w:b/>
          <w:bCs/>
          <w:sz w:val="40"/>
          <w:szCs w:val="40"/>
          <w:highlight w:val="none"/>
        </w:rPr>
        <w:br w:type="page"/>
      </w:r>
    </w:p>
    <w:p w14:paraId="78B8F682">
      <w:pPr>
        <w:spacing w:line="228" w:lineRule="auto"/>
        <w:jc w:val="center"/>
        <w:rPr>
          <w:rFonts w:ascii="宋体" w:hAnsi="宋体" w:cs="宋体"/>
          <w:b/>
          <w:bCs/>
          <w:sz w:val="24"/>
          <w:highlight w:val="none"/>
        </w:rPr>
        <w:sectPr>
          <w:footerReference r:id="rId9" w:type="default"/>
          <w:pgSz w:w="11910" w:h="16840"/>
          <w:pgMar w:top="1440" w:right="1800" w:bottom="1440" w:left="1800" w:header="0" w:footer="785" w:gutter="0"/>
          <w:cols w:space="720" w:num="1"/>
        </w:sectPr>
      </w:pPr>
      <w:r>
        <w:rPr>
          <w:rFonts w:hint="eastAsia" w:ascii="宋体" w:hAnsi="宋体" w:cs="宋体"/>
          <w:b/>
          <w:bCs/>
          <w:sz w:val="40"/>
          <w:szCs w:val="40"/>
          <w:highlight w:val="none"/>
        </w:rPr>
        <w:t>八、</w:t>
      </w:r>
      <w:r>
        <w:rPr>
          <w:rFonts w:hint="eastAsia" w:ascii="宋体" w:hAnsi="宋体" w:cs="宋体"/>
          <w:b/>
          <w:bCs/>
          <w:sz w:val="40"/>
          <w:szCs w:val="40"/>
          <w:highlight w:val="none"/>
          <w:lang w:val="en-US" w:eastAsia="zh-CN"/>
        </w:rPr>
        <w:t>商务</w:t>
      </w:r>
      <w:r>
        <w:rPr>
          <w:rFonts w:hint="eastAsia" w:ascii="宋体" w:hAnsi="宋体" w:cs="宋体"/>
          <w:b/>
          <w:bCs/>
          <w:sz w:val="40"/>
          <w:szCs w:val="40"/>
          <w:highlight w:val="none"/>
        </w:rPr>
        <w:t>部分</w:t>
      </w:r>
    </w:p>
    <w:p w14:paraId="6D023BE2">
      <w:pPr>
        <w:keepNext/>
        <w:keepLines/>
        <w:spacing w:before="260" w:after="260" w:line="416" w:lineRule="auto"/>
        <w:jc w:val="center"/>
        <w:rPr>
          <w:rFonts w:ascii="宋体" w:hAnsi="宋体" w:cs="宋体"/>
          <w:b/>
          <w:bCs/>
          <w:sz w:val="36"/>
          <w:szCs w:val="28"/>
          <w:highlight w:val="none"/>
        </w:rPr>
      </w:pPr>
      <w:r>
        <w:rPr>
          <w:rFonts w:hint="eastAsia" w:ascii="宋体" w:hAnsi="宋体" w:cs="宋体"/>
          <w:b/>
          <w:bCs/>
          <w:sz w:val="36"/>
          <w:szCs w:val="28"/>
          <w:highlight w:val="none"/>
        </w:rPr>
        <w:t>九、供应商认为需提交的其他材料</w:t>
      </w:r>
    </w:p>
    <w:p w14:paraId="12F8D285">
      <w:pPr>
        <w:spacing w:line="360" w:lineRule="auto"/>
        <w:rPr>
          <w:rFonts w:ascii="宋体" w:hAnsi="宋体" w:cs="宋体"/>
          <w:kern w:val="0"/>
          <w:sz w:val="20"/>
          <w:szCs w:val="21"/>
          <w:highlight w:val="none"/>
        </w:rPr>
      </w:pPr>
    </w:p>
    <w:p w14:paraId="7083EA1A">
      <w:pPr>
        <w:spacing w:line="360" w:lineRule="auto"/>
        <w:rPr>
          <w:rFonts w:ascii="宋体" w:hAnsi="宋体" w:cs="宋体"/>
          <w:kern w:val="0"/>
          <w:sz w:val="20"/>
          <w:szCs w:val="21"/>
          <w:highlight w:val="none"/>
        </w:rPr>
      </w:pPr>
    </w:p>
    <w:p w14:paraId="42CFE28D">
      <w:pPr>
        <w:contextualSpacing/>
        <w:jc w:val="left"/>
        <w:rPr>
          <w:rFonts w:ascii="宋体" w:hAnsi="宋体" w:cs="宋体"/>
          <w:b/>
          <w:bCs/>
          <w:kern w:val="0"/>
          <w:sz w:val="22"/>
          <w:szCs w:val="22"/>
          <w:highlight w:val="none"/>
        </w:rPr>
      </w:pPr>
      <w:r>
        <w:rPr>
          <w:rFonts w:hint="eastAsia" w:ascii="宋体" w:hAnsi="宋体" w:cs="宋体"/>
          <w:sz w:val="20"/>
          <w:highlight w:val="none"/>
        </w:rPr>
        <w:br w:type="page"/>
      </w:r>
      <w:r>
        <w:rPr>
          <w:rFonts w:hint="eastAsia" w:ascii="宋体" w:hAnsi="宋体" w:cs="宋体"/>
          <w:b/>
          <w:bCs/>
          <w:kern w:val="0"/>
          <w:sz w:val="22"/>
          <w:szCs w:val="22"/>
          <w:highlight w:val="none"/>
        </w:rPr>
        <w:t>附件：</w:t>
      </w:r>
    </w:p>
    <w:p w14:paraId="69DBD450">
      <w:pPr>
        <w:widowControl/>
        <w:kinsoku w:val="0"/>
        <w:autoSpaceDE w:val="0"/>
        <w:autoSpaceDN w:val="0"/>
        <w:adjustRightInd w:val="0"/>
        <w:snapToGrid w:val="0"/>
        <w:jc w:val="center"/>
        <w:textAlignment w:val="baseline"/>
        <w:rPr>
          <w:rFonts w:ascii="宋体" w:hAnsi="宋体" w:cs="宋体"/>
          <w:b/>
          <w:snapToGrid w:val="0"/>
          <w:kern w:val="0"/>
          <w:sz w:val="24"/>
          <w:szCs w:val="21"/>
          <w:highlight w:val="none"/>
        </w:rPr>
      </w:pPr>
      <w:r>
        <w:rPr>
          <w:rFonts w:hint="eastAsia" w:ascii="宋体" w:hAnsi="宋体" w:cs="宋体"/>
          <w:b/>
          <w:kern w:val="0"/>
          <w:sz w:val="22"/>
          <w:szCs w:val="22"/>
          <w:highlight w:val="none"/>
        </w:rPr>
        <w:t xml:space="preserve">1. </w:t>
      </w:r>
      <w:r>
        <w:rPr>
          <w:rFonts w:hint="eastAsia" w:ascii="宋体" w:hAnsi="宋体" w:cs="宋体"/>
          <w:b/>
          <w:snapToGrid w:val="0"/>
          <w:kern w:val="0"/>
          <w:sz w:val="24"/>
          <w:szCs w:val="21"/>
          <w:highlight w:val="none"/>
        </w:rPr>
        <w:t>中小企业声明函（货物）</w:t>
      </w:r>
    </w:p>
    <w:p w14:paraId="017EDCE5">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本公司（联合体）郑重声明，根据《政府采购促进中小企业发展管理办法》（财库﹝2020﹞46 号）的规定，本公司（联合体）参加</w:t>
      </w:r>
      <w:r>
        <w:rPr>
          <w:rFonts w:hint="eastAsia" w:ascii="宋体" w:hAnsi="宋体" w:cs="宋体"/>
          <w:snapToGrid w:val="0"/>
          <w:kern w:val="0"/>
          <w:sz w:val="24"/>
          <w:szCs w:val="21"/>
          <w:highlight w:val="none"/>
          <w:u w:val="single"/>
        </w:rPr>
        <w:t>（单位名称）</w:t>
      </w:r>
      <w:r>
        <w:rPr>
          <w:rFonts w:hint="eastAsia" w:ascii="宋体" w:hAnsi="宋体" w:cs="宋体"/>
          <w:snapToGrid w:val="0"/>
          <w:kern w:val="0"/>
          <w:sz w:val="24"/>
          <w:szCs w:val="21"/>
          <w:highlight w:val="none"/>
        </w:rPr>
        <w:t>_的</w:t>
      </w:r>
      <w:r>
        <w:rPr>
          <w:rFonts w:hint="eastAsia" w:ascii="宋体" w:hAnsi="宋体" w:cs="宋体"/>
          <w:snapToGrid w:val="0"/>
          <w:kern w:val="0"/>
          <w:sz w:val="24"/>
          <w:szCs w:val="21"/>
          <w:highlight w:val="none"/>
          <w:u w:val="single"/>
        </w:rPr>
        <w:t>（项目名称）</w:t>
      </w:r>
      <w:r>
        <w:rPr>
          <w:rFonts w:hint="eastAsia" w:ascii="宋体" w:hAnsi="宋体" w:cs="宋体"/>
          <w:snapToGrid w:val="0"/>
          <w:kern w:val="0"/>
          <w:sz w:val="24"/>
          <w:szCs w:val="21"/>
          <w:highlight w:val="none"/>
        </w:rPr>
        <w:t>采购活动，提供的货物全部由符合政策要求的中小企业制造。相关企业（含联合体中的中小企业、签订分包意向协议的中小企业）的具体情况如下：</w:t>
      </w:r>
    </w:p>
    <w:p w14:paraId="74B970BA">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1.</w:t>
      </w:r>
      <w:r>
        <w:rPr>
          <w:rFonts w:hint="eastAsia" w:ascii="宋体" w:hAnsi="宋体" w:cs="宋体"/>
          <w:snapToGrid w:val="0"/>
          <w:kern w:val="0"/>
          <w:sz w:val="24"/>
          <w:szCs w:val="21"/>
          <w:highlight w:val="none"/>
          <w:u w:val="single"/>
        </w:rPr>
        <w:t xml:space="preserve">（标的名称） </w:t>
      </w:r>
      <w:r>
        <w:rPr>
          <w:rFonts w:hint="eastAsia" w:ascii="宋体" w:hAnsi="宋体" w:cs="宋体"/>
          <w:snapToGrid w:val="0"/>
          <w:kern w:val="0"/>
          <w:sz w:val="24"/>
          <w:szCs w:val="21"/>
          <w:highlight w:val="none"/>
        </w:rPr>
        <w:t>，属于</w:t>
      </w:r>
      <w:r>
        <w:rPr>
          <w:rFonts w:hint="eastAsia" w:ascii="宋体" w:hAnsi="宋体" w:cs="宋体"/>
          <w:snapToGrid w:val="0"/>
          <w:kern w:val="0"/>
          <w:sz w:val="24"/>
          <w:szCs w:val="21"/>
          <w:highlight w:val="none"/>
          <w:u w:val="single"/>
        </w:rPr>
        <w:t>（采购文件中明确的所属行业）</w:t>
      </w:r>
      <w:r>
        <w:rPr>
          <w:rFonts w:hint="eastAsia" w:ascii="宋体" w:hAnsi="宋体" w:cs="宋体"/>
          <w:snapToGrid w:val="0"/>
          <w:kern w:val="0"/>
          <w:sz w:val="24"/>
          <w:szCs w:val="21"/>
          <w:highlight w:val="none"/>
        </w:rPr>
        <w:t xml:space="preserve"> 行业；制造商为</w:t>
      </w:r>
      <w:r>
        <w:rPr>
          <w:rFonts w:hint="eastAsia" w:ascii="宋体" w:hAnsi="宋体" w:cs="宋体"/>
          <w:snapToGrid w:val="0"/>
          <w:kern w:val="0"/>
          <w:sz w:val="24"/>
          <w:szCs w:val="21"/>
          <w:highlight w:val="none"/>
          <w:u w:val="single"/>
        </w:rPr>
        <w:t>（企业名称）</w:t>
      </w:r>
      <w:r>
        <w:rPr>
          <w:rFonts w:hint="eastAsia" w:ascii="宋体" w:hAnsi="宋体" w:cs="宋体"/>
          <w:snapToGrid w:val="0"/>
          <w:kern w:val="0"/>
          <w:sz w:val="24"/>
          <w:szCs w:val="21"/>
          <w:highlight w:val="none"/>
        </w:rPr>
        <w:t>，从业人员_____人，营业收入为_____万元，资产总额为_____万元</w:t>
      </w:r>
      <w:r>
        <w:rPr>
          <w:rFonts w:hint="eastAsia" w:ascii="宋体" w:hAnsi="宋体" w:cs="宋体"/>
          <w:snapToGrid w:val="0"/>
          <w:kern w:val="0"/>
          <w:sz w:val="24"/>
          <w:szCs w:val="21"/>
          <w:highlight w:val="none"/>
          <w:vertAlign w:val="superscript"/>
        </w:rPr>
        <w:t>1</w:t>
      </w:r>
      <w:r>
        <w:rPr>
          <w:rFonts w:hint="eastAsia" w:ascii="宋体" w:hAnsi="宋体" w:cs="宋体"/>
          <w:snapToGrid w:val="0"/>
          <w:kern w:val="0"/>
          <w:sz w:val="24"/>
          <w:szCs w:val="21"/>
          <w:highlight w:val="none"/>
        </w:rPr>
        <w:t>，属于</w:t>
      </w:r>
      <w:r>
        <w:rPr>
          <w:rFonts w:hint="eastAsia" w:ascii="宋体" w:hAnsi="宋体" w:cs="宋体"/>
          <w:snapToGrid w:val="0"/>
          <w:kern w:val="0"/>
          <w:sz w:val="24"/>
          <w:szCs w:val="21"/>
          <w:highlight w:val="none"/>
          <w:u w:val="single"/>
        </w:rPr>
        <w:t>（中型企业、小型企业、微型企业）</w:t>
      </w:r>
      <w:r>
        <w:rPr>
          <w:rFonts w:hint="eastAsia" w:ascii="宋体" w:hAnsi="宋体" w:cs="宋体"/>
          <w:snapToGrid w:val="0"/>
          <w:kern w:val="0"/>
          <w:sz w:val="24"/>
          <w:szCs w:val="21"/>
          <w:highlight w:val="none"/>
        </w:rPr>
        <w:t>；</w:t>
      </w:r>
    </w:p>
    <w:p w14:paraId="363CA8DA">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2.</w:t>
      </w:r>
      <w:r>
        <w:rPr>
          <w:rFonts w:hint="eastAsia" w:ascii="宋体" w:hAnsi="宋体" w:cs="宋体"/>
          <w:snapToGrid w:val="0"/>
          <w:kern w:val="0"/>
          <w:sz w:val="24"/>
          <w:szCs w:val="21"/>
          <w:highlight w:val="none"/>
          <w:u w:val="single"/>
        </w:rPr>
        <w:t xml:space="preserve">（标的名称） </w:t>
      </w:r>
      <w:r>
        <w:rPr>
          <w:rFonts w:hint="eastAsia" w:ascii="宋体" w:hAnsi="宋体" w:cs="宋体"/>
          <w:snapToGrid w:val="0"/>
          <w:kern w:val="0"/>
          <w:sz w:val="24"/>
          <w:szCs w:val="21"/>
          <w:highlight w:val="none"/>
        </w:rPr>
        <w:t>，属于</w:t>
      </w:r>
      <w:r>
        <w:rPr>
          <w:rFonts w:hint="eastAsia" w:ascii="宋体" w:hAnsi="宋体" w:cs="宋体"/>
          <w:snapToGrid w:val="0"/>
          <w:kern w:val="0"/>
          <w:sz w:val="24"/>
          <w:szCs w:val="21"/>
          <w:highlight w:val="none"/>
          <w:u w:val="single"/>
        </w:rPr>
        <w:t xml:space="preserve">（采购文件中明确的所属行业） </w:t>
      </w:r>
      <w:r>
        <w:rPr>
          <w:rFonts w:hint="eastAsia" w:ascii="宋体" w:hAnsi="宋体" w:cs="宋体"/>
          <w:snapToGrid w:val="0"/>
          <w:kern w:val="0"/>
          <w:sz w:val="24"/>
          <w:szCs w:val="21"/>
          <w:highlight w:val="none"/>
        </w:rPr>
        <w:t>行业；制造商为</w:t>
      </w:r>
      <w:r>
        <w:rPr>
          <w:rFonts w:hint="eastAsia" w:ascii="宋体" w:hAnsi="宋体" w:cs="宋体"/>
          <w:snapToGrid w:val="0"/>
          <w:kern w:val="0"/>
          <w:sz w:val="24"/>
          <w:szCs w:val="21"/>
          <w:highlight w:val="none"/>
          <w:u w:val="single"/>
        </w:rPr>
        <w:t>（企业名称）</w:t>
      </w:r>
      <w:r>
        <w:rPr>
          <w:rFonts w:hint="eastAsia" w:ascii="宋体" w:hAnsi="宋体" w:cs="宋体"/>
          <w:snapToGrid w:val="0"/>
          <w:kern w:val="0"/>
          <w:sz w:val="24"/>
          <w:szCs w:val="21"/>
          <w:highlight w:val="none"/>
        </w:rPr>
        <w:t>，从业人员_____人，营业收入为_____万元，资产总额为_____万元</w:t>
      </w:r>
      <w:r>
        <w:rPr>
          <w:rFonts w:hint="eastAsia" w:ascii="宋体" w:hAnsi="宋体" w:cs="宋体"/>
          <w:snapToGrid w:val="0"/>
          <w:kern w:val="0"/>
          <w:sz w:val="24"/>
          <w:szCs w:val="21"/>
          <w:highlight w:val="none"/>
          <w:vertAlign w:val="superscript"/>
        </w:rPr>
        <w:t>1</w:t>
      </w:r>
      <w:r>
        <w:rPr>
          <w:rFonts w:hint="eastAsia" w:ascii="宋体" w:hAnsi="宋体" w:cs="宋体"/>
          <w:snapToGrid w:val="0"/>
          <w:kern w:val="0"/>
          <w:sz w:val="24"/>
          <w:szCs w:val="21"/>
          <w:highlight w:val="none"/>
        </w:rPr>
        <w:t>，属于</w:t>
      </w:r>
      <w:r>
        <w:rPr>
          <w:rFonts w:hint="eastAsia" w:ascii="宋体" w:hAnsi="宋体" w:cs="宋体"/>
          <w:snapToGrid w:val="0"/>
          <w:kern w:val="0"/>
          <w:sz w:val="24"/>
          <w:szCs w:val="21"/>
          <w:highlight w:val="none"/>
          <w:u w:val="single"/>
        </w:rPr>
        <w:t>（中型企业、小型企业、微型企业）</w:t>
      </w:r>
      <w:r>
        <w:rPr>
          <w:rFonts w:hint="eastAsia" w:ascii="宋体" w:hAnsi="宋体" w:cs="宋体"/>
          <w:snapToGrid w:val="0"/>
          <w:kern w:val="0"/>
          <w:sz w:val="24"/>
          <w:szCs w:val="21"/>
          <w:highlight w:val="none"/>
        </w:rPr>
        <w:t>；</w:t>
      </w:r>
    </w:p>
    <w:p w14:paraId="11C8087A">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w:t>
      </w:r>
    </w:p>
    <w:p w14:paraId="692911FD">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以上企业，不属于大企业的分支机构，不存在控股股东为大企业的情形，也不存在与大企业的负责人为同一人的情形。</w:t>
      </w:r>
    </w:p>
    <w:p w14:paraId="2084D92F">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本企业对上述声明内容的真实性负责。如有虚假，将依法承担相应责任。</w:t>
      </w:r>
    </w:p>
    <w:p w14:paraId="529F3C0B">
      <w:pPr>
        <w:widowControl/>
        <w:kinsoku w:val="0"/>
        <w:autoSpaceDE w:val="0"/>
        <w:autoSpaceDN w:val="0"/>
        <w:adjustRightInd w:val="0"/>
        <w:snapToGrid w:val="0"/>
        <w:spacing w:line="360" w:lineRule="auto"/>
        <w:ind w:right="-298" w:rightChars="-142" w:firstLine="424" w:firstLineChars="177"/>
        <w:jc w:val="left"/>
        <w:textAlignment w:val="baseline"/>
        <w:rPr>
          <w:rFonts w:ascii="宋体" w:hAnsi="宋体" w:cs="宋体"/>
          <w:snapToGrid w:val="0"/>
          <w:kern w:val="0"/>
          <w:sz w:val="24"/>
          <w:szCs w:val="21"/>
          <w:highlight w:val="none"/>
        </w:rPr>
      </w:pPr>
    </w:p>
    <w:p w14:paraId="05616C83">
      <w:pPr>
        <w:widowControl/>
        <w:kinsoku w:val="0"/>
        <w:autoSpaceDE w:val="0"/>
        <w:autoSpaceDN w:val="0"/>
        <w:adjustRightInd w:val="0"/>
        <w:snapToGrid w:val="0"/>
        <w:spacing w:line="360" w:lineRule="auto"/>
        <w:ind w:right="-298" w:rightChars="-142" w:firstLine="3400" w:firstLineChars="141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企业名称（电子签章）：</w:t>
      </w:r>
    </w:p>
    <w:p w14:paraId="03419922">
      <w:pPr>
        <w:widowControl/>
        <w:kinsoku w:val="0"/>
        <w:autoSpaceDE w:val="0"/>
        <w:autoSpaceDN w:val="0"/>
        <w:adjustRightInd w:val="0"/>
        <w:snapToGrid w:val="0"/>
        <w:spacing w:line="360" w:lineRule="auto"/>
        <w:ind w:right="-298" w:rightChars="-142" w:firstLine="3400" w:firstLineChars="1417"/>
        <w:jc w:val="left"/>
        <w:textAlignment w:val="baseline"/>
        <w:rPr>
          <w:rFonts w:ascii="宋体" w:hAnsi="宋体" w:cs="宋体"/>
          <w:snapToGrid w:val="0"/>
          <w:kern w:val="0"/>
          <w:sz w:val="24"/>
          <w:szCs w:val="21"/>
          <w:highlight w:val="none"/>
        </w:rPr>
      </w:pPr>
      <w:r>
        <w:rPr>
          <w:rFonts w:hint="eastAsia" w:ascii="宋体" w:hAnsi="宋体" w:cs="宋体"/>
          <w:snapToGrid w:val="0"/>
          <w:kern w:val="0"/>
          <w:sz w:val="24"/>
          <w:szCs w:val="21"/>
          <w:highlight w:val="none"/>
        </w:rPr>
        <w:t>日 期：</w:t>
      </w:r>
    </w:p>
    <w:p w14:paraId="0BDAB5DE">
      <w:pPr>
        <w:widowControl/>
        <w:kinsoku w:val="0"/>
        <w:autoSpaceDE w:val="0"/>
        <w:autoSpaceDN w:val="0"/>
        <w:adjustRightInd w:val="0"/>
        <w:snapToGrid w:val="0"/>
        <w:spacing w:line="360" w:lineRule="auto"/>
        <w:ind w:right="-1"/>
        <w:jc w:val="left"/>
        <w:textAlignment w:val="baseline"/>
        <w:rPr>
          <w:rFonts w:ascii="宋体" w:hAnsi="宋体" w:cs="宋体"/>
          <w:snapToGrid w:val="0"/>
          <w:kern w:val="0"/>
          <w:sz w:val="24"/>
          <w:szCs w:val="21"/>
          <w:highlight w:val="none"/>
          <w:u w:val="single"/>
          <w:vertAlign w:val="superscript"/>
        </w:rPr>
      </w:pPr>
    </w:p>
    <w:p w14:paraId="4772EA5E">
      <w:pPr>
        <w:widowControl/>
        <w:tabs>
          <w:tab w:val="left" w:pos="2490"/>
        </w:tabs>
        <w:kinsoku w:val="0"/>
        <w:autoSpaceDE w:val="0"/>
        <w:autoSpaceDN w:val="0"/>
        <w:adjustRightInd w:val="0"/>
        <w:snapToGrid w:val="0"/>
        <w:spacing w:line="360" w:lineRule="auto"/>
        <w:jc w:val="left"/>
        <w:textAlignment w:val="baseline"/>
        <w:rPr>
          <w:rFonts w:ascii="宋体" w:hAnsi="宋体" w:cs="宋体"/>
          <w:snapToGrid w:val="0"/>
          <w:kern w:val="0"/>
          <w:szCs w:val="21"/>
          <w:highlight w:val="none"/>
        </w:rPr>
      </w:pPr>
      <w:r>
        <w:rPr>
          <w:rFonts w:hint="eastAsia" w:ascii="宋体" w:hAnsi="宋体" w:cs="宋体"/>
          <w:snapToGrid w:val="0"/>
          <w:kern w:val="0"/>
          <w:sz w:val="24"/>
          <w:szCs w:val="21"/>
          <w:highlight w:val="none"/>
        </w:rPr>
        <w:t>从业人员、营业收入、资产总额填报上一年度数据，无上一年度数据的新成立企业可不</w:t>
      </w:r>
      <w:r>
        <w:rPr>
          <w:rFonts w:hint="eastAsia" w:ascii="宋体" w:hAnsi="宋体" w:cs="宋体"/>
          <w:snapToGrid w:val="0"/>
          <w:kern w:val="0"/>
          <w:sz w:val="24"/>
          <w:highlight w:val="none"/>
        </w:rPr>
        <w:t>填报。</w:t>
      </w:r>
    </w:p>
    <w:p w14:paraId="3B88169D">
      <w:pPr>
        <w:spacing w:line="360" w:lineRule="auto"/>
        <w:jc w:val="right"/>
        <w:rPr>
          <w:rFonts w:ascii="宋体" w:hAnsi="宋体" w:cs="宋体"/>
          <w:kern w:val="0"/>
          <w:sz w:val="22"/>
          <w:szCs w:val="22"/>
          <w:highlight w:val="none"/>
        </w:rPr>
      </w:pPr>
    </w:p>
    <w:p w14:paraId="2D3596E2">
      <w:pPr>
        <w:spacing w:line="360" w:lineRule="auto"/>
        <w:ind w:firstLine="440" w:firstLineChars="200"/>
        <w:rPr>
          <w:rFonts w:ascii="宋体" w:hAnsi="宋体" w:cs="宋体"/>
          <w:kern w:val="0"/>
          <w:sz w:val="22"/>
          <w:szCs w:val="22"/>
          <w:highlight w:val="none"/>
        </w:rPr>
      </w:pPr>
    </w:p>
    <w:p w14:paraId="3E57016C">
      <w:pPr>
        <w:ind w:firstLine="440" w:firstLineChars="200"/>
        <w:rPr>
          <w:rFonts w:ascii="宋体" w:hAnsi="宋体" w:cs="宋体"/>
          <w:sz w:val="22"/>
          <w:szCs w:val="22"/>
          <w:highlight w:val="none"/>
        </w:rPr>
      </w:pPr>
      <w:r>
        <w:rPr>
          <w:rFonts w:hint="eastAsia" w:ascii="宋体" w:hAnsi="宋体" w:cs="宋体"/>
          <w:kern w:val="0"/>
          <w:sz w:val="22"/>
          <w:szCs w:val="22"/>
          <w:highlight w:val="none"/>
        </w:rPr>
        <w:br w:type="page"/>
      </w:r>
    </w:p>
    <w:p w14:paraId="16771F39">
      <w:pPr>
        <w:spacing w:line="500" w:lineRule="exact"/>
        <w:jc w:val="center"/>
        <w:rPr>
          <w:rFonts w:ascii="宋体" w:hAnsi="宋体" w:cs="宋体"/>
          <w:b/>
          <w:kern w:val="0"/>
          <w:sz w:val="22"/>
          <w:szCs w:val="22"/>
          <w:highlight w:val="none"/>
          <w:lang w:val="zh-CN"/>
        </w:rPr>
      </w:pPr>
      <w:bookmarkStart w:id="60" w:name="_Toc31854"/>
      <w:r>
        <w:rPr>
          <w:rFonts w:hint="eastAsia" w:ascii="宋体" w:hAnsi="宋体" w:cs="宋体"/>
          <w:b/>
          <w:kern w:val="0"/>
          <w:sz w:val="22"/>
          <w:szCs w:val="22"/>
          <w:highlight w:val="none"/>
        </w:rPr>
        <w:t>2.</w:t>
      </w:r>
      <w:r>
        <w:rPr>
          <w:rFonts w:hint="eastAsia" w:ascii="宋体" w:hAnsi="宋体" w:cs="宋体"/>
          <w:b/>
          <w:kern w:val="0"/>
          <w:sz w:val="22"/>
          <w:szCs w:val="22"/>
          <w:highlight w:val="none"/>
          <w:lang w:val="zh-CN"/>
        </w:rPr>
        <w:t>残疾人福利性单位声明函（如为残疾人福利性单位）</w:t>
      </w:r>
      <w:bookmarkEnd w:id="60"/>
    </w:p>
    <w:p w14:paraId="1412BA3B">
      <w:pPr>
        <w:tabs>
          <w:tab w:val="left" w:pos="1104"/>
        </w:tabs>
        <w:ind w:left="378"/>
        <w:rPr>
          <w:rFonts w:ascii="宋体" w:hAnsi="宋体" w:cs="宋体"/>
          <w:sz w:val="20"/>
          <w:szCs w:val="22"/>
          <w:highlight w:val="none"/>
          <w:lang w:val="zh-CN"/>
        </w:rPr>
      </w:pPr>
    </w:p>
    <w:p w14:paraId="259253BE">
      <w:pPr>
        <w:snapToGrid w:val="0"/>
        <w:spacing w:line="480" w:lineRule="auto"/>
        <w:ind w:firstLine="539" w:firstLineChars="245"/>
        <w:rPr>
          <w:rFonts w:ascii="宋体" w:hAnsi="宋体" w:cs="宋体"/>
          <w:bCs/>
          <w:sz w:val="22"/>
          <w:szCs w:val="22"/>
          <w:highlight w:val="none"/>
          <w:lang w:val="zh-CN"/>
        </w:rPr>
      </w:pPr>
      <w:r>
        <w:rPr>
          <w:rFonts w:hint="eastAsia" w:ascii="宋体" w:hAnsi="宋体" w:cs="宋体"/>
          <w:bCs/>
          <w:sz w:val="22"/>
          <w:szCs w:val="22"/>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F6EB168">
      <w:pPr>
        <w:ind w:firstLine="570"/>
        <w:rPr>
          <w:rFonts w:ascii="宋体" w:hAnsi="宋体" w:cs="宋体"/>
          <w:sz w:val="22"/>
          <w:szCs w:val="22"/>
          <w:highlight w:val="none"/>
        </w:rPr>
      </w:pPr>
      <w:r>
        <w:rPr>
          <w:rFonts w:hint="eastAsia" w:ascii="宋体" w:hAnsi="宋体" w:cs="宋体"/>
          <w:bCs/>
          <w:sz w:val="22"/>
          <w:szCs w:val="22"/>
          <w:highlight w:val="none"/>
          <w:lang w:val="zh-CN"/>
        </w:rPr>
        <w:t>本单位对上述声明的真实性负责。如有虚假，将依法承担相应责任。</w:t>
      </w:r>
    </w:p>
    <w:p w14:paraId="07960B94">
      <w:pPr>
        <w:ind w:firstLine="570"/>
        <w:rPr>
          <w:rFonts w:ascii="宋体" w:hAnsi="宋体" w:cs="宋体"/>
          <w:sz w:val="22"/>
          <w:szCs w:val="22"/>
          <w:highlight w:val="none"/>
        </w:rPr>
      </w:pPr>
    </w:p>
    <w:p w14:paraId="024E1DB4">
      <w:pPr>
        <w:ind w:firstLine="570"/>
        <w:rPr>
          <w:rFonts w:ascii="宋体" w:hAnsi="宋体" w:cs="宋体"/>
          <w:sz w:val="28"/>
          <w:szCs w:val="22"/>
          <w:highlight w:val="none"/>
        </w:rPr>
      </w:pPr>
    </w:p>
    <w:p w14:paraId="43BEE544">
      <w:pPr>
        <w:ind w:firstLine="570"/>
        <w:rPr>
          <w:rFonts w:ascii="宋体" w:hAnsi="宋体" w:cs="宋体"/>
          <w:sz w:val="32"/>
          <w:highlight w:val="none"/>
        </w:rPr>
      </w:pPr>
    </w:p>
    <w:p w14:paraId="780FC15F">
      <w:pPr>
        <w:spacing w:after="120"/>
        <w:ind w:firstLine="300" w:firstLineChars="100"/>
        <w:rPr>
          <w:rStyle w:val="33"/>
          <w:rFonts w:ascii="宋体" w:hAnsi="宋体" w:cs="宋体"/>
          <w:sz w:val="30"/>
          <w:szCs w:val="30"/>
          <w:highlight w:val="none"/>
        </w:rPr>
      </w:pPr>
    </w:p>
    <w:p w14:paraId="2C3003AA">
      <w:pPr>
        <w:spacing w:after="120"/>
        <w:ind w:firstLine="300" w:firstLineChars="100"/>
        <w:rPr>
          <w:rStyle w:val="33"/>
          <w:rFonts w:ascii="宋体" w:hAnsi="宋体" w:cs="宋体"/>
          <w:sz w:val="30"/>
          <w:szCs w:val="30"/>
          <w:highlight w:val="none"/>
        </w:rPr>
      </w:pPr>
    </w:p>
    <w:p w14:paraId="6193AF19">
      <w:pPr>
        <w:ind w:firstLine="570"/>
        <w:rPr>
          <w:rFonts w:ascii="宋体" w:hAnsi="宋体" w:cs="宋体"/>
          <w:sz w:val="32"/>
          <w:highlight w:val="none"/>
        </w:rPr>
      </w:pPr>
    </w:p>
    <w:p w14:paraId="5FCE3E22">
      <w:pPr>
        <w:ind w:firstLine="570"/>
        <w:rPr>
          <w:rFonts w:ascii="宋体" w:hAnsi="宋体" w:cs="宋体"/>
          <w:sz w:val="32"/>
          <w:highlight w:val="none"/>
        </w:rPr>
      </w:pPr>
    </w:p>
    <w:p w14:paraId="3529E077">
      <w:pPr>
        <w:ind w:firstLine="570"/>
        <w:rPr>
          <w:rFonts w:ascii="宋体" w:hAnsi="宋体" w:cs="宋体"/>
          <w:sz w:val="32"/>
          <w:highlight w:val="none"/>
        </w:rPr>
      </w:pPr>
    </w:p>
    <w:p w14:paraId="6BEC01DF">
      <w:pPr>
        <w:ind w:firstLine="570"/>
        <w:rPr>
          <w:rFonts w:ascii="宋体" w:hAnsi="宋体" w:cs="宋体"/>
          <w:sz w:val="32"/>
          <w:highlight w:val="none"/>
        </w:rPr>
      </w:pPr>
    </w:p>
    <w:p w14:paraId="575AD797">
      <w:pPr>
        <w:ind w:firstLine="570"/>
        <w:rPr>
          <w:rFonts w:ascii="宋体" w:hAnsi="宋体" w:cs="宋体"/>
          <w:sz w:val="32"/>
          <w:highlight w:val="none"/>
        </w:rPr>
      </w:pPr>
    </w:p>
    <w:p w14:paraId="521C9114">
      <w:pPr>
        <w:spacing w:after="120"/>
        <w:ind w:firstLine="300" w:firstLineChars="100"/>
        <w:rPr>
          <w:rStyle w:val="33"/>
          <w:rFonts w:ascii="宋体" w:hAnsi="宋体" w:cs="宋体"/>
          <w:sz w:val="30"/>
          <w:szCs w:val="30"/>
          <w:highlight w:val="none"/>
        </w:rPr>
      </w:pPr>
    </w:p>
    <w:p w14:paraId="2DDBF193">
      <w:pPr>
        <w:spacing w:after="120"/>
        <w:ind w:firstLine="300" w:firstLineChars="100"/>
        <w:rPr>
          <w:rStyle w:val="33"/>
          <w:rFonts w:ascii="宋体" w:hAnsi="宋体" w:cs="宋体"/>
          <w:sz w:val="30"/>
          <w:szCs w:val="30"/>
          <w:highlight w:val="none"/>
        </w:rPr>
      </w:pPr>
    </w:p>
    <w:p w14:paraId="28119944">
      <w:pPr>
        <w:spacing w:after="120"/>
        <w:ind w:firstLine="300" w:firstLineChars="100"/>
        <w:rPr>
          <w:rStyle w:val="33"/>
          <w:rFonts w:ascii="宋体" w:hAnsi="宋体" w:cs="宋体"/>
          <w:sz w:val="30"/>
          <w:szCs w:val="30"/>
          <w:highlight w:val="none"/>
        </w:rPr>
      </w:pPr>
    </w:p>
    <w:p w14:paraId="65CC9686">
      <w:pPr>
        <w:spacing w:after="120"/>
        <w:ind w:firstLine="300" w:firstLineChars="100"/>
        <w:rPr>
          <w:rStyle w:val="33"/>
          <w:rFonts w:ascii="宋体" w:hAnsi="宋体" w:cs="宋体"/>
          <w:sz w:val="30"/>
          <w:szCs w:val="30"/>
          <w:highlight w:val="none"/>
        </w:rPr>
      </w:pPr>
    </w:p>
    <w:p w14:paraId="556ED260">
      <w:pPr>
        <w:spacing w:line="360" w:lineRule="auto"/>
        <w:ind w:firstLine="480" w:firstLineChars="200"/>
        <w:rPr>
          <w:rFonts w:ascii="宋体" w:hAnsi="宋体" w:cs="宋体"/>
          <w:sz w:val="24"/>
          <w:szCs w:val="21"/>
          <w:highlight w:val="none"/>
          <w:lang w:val="zh-CN"/>
        </w:rPr>
      </w:pPr>
    </w:p>
    <w:p w14:paraId="3F2A2D3E">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3.关于监狱企业（如有）</w:t>
      </w:r>
    </w:p>
    <w:p w14:paraId="2C6F428E">
      <w:pPr>
        <w:ind w:firstLine="422" w:firstLineChars="192"/>
        <w:rPr>
          <w:rFonts w:ascii="宋体" w:hAnsi="宋体" w:cs="宋体"/>
          <w:kern w:val="0"/>
          <w:sz w:val="22"/>
          <w:szCs w:val="22"/>
          <w:highlight w:val="none"/>
        </w:rPr>
      </w:pPr>
    </w:p>
    <w:p w14:paraId="29EB2B84">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1、政府采购政策</w:t>
      </w:r>
    </w:p>
    <w:p w14:paraId="3E790BB1">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财政部、司法部关于政府采购支持监狱企业发展有关问题的通知（财库【2014】68 号）。</w:t>
      </w:r>
    </w:p>
    <w:p w14:paraId="35D69AD8">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2 、附证明材料</w:t>
      </w:r>
    </w:p>
    <w:p w14:paraId="145DF8CA">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提供由省级以上监狱管理局、戒毒管理局（含新疆生产建设兵团）出具的属于监狱企业的证明文件。</w:t>
      </w:r>
    </w:p>
    <w:p w14:paraId="53E06D89">
      <w:pPr>
        <w:ind w:firstLine="570"/>
        <w:rPr>
          <w:rStyle w:val="33"/>
          <w:rFonts w:ascii="宋体" w:hAnsi="宋体" w:cs="宋体"/>
          <w:sz w:val="30"/>
          <w:szCs w:val="30"/>
          <w:highlight w:val="none"/>
        </w:rPr>
      </w:pPr>
    </w:p>
    <w:p w14:paraId="3C475ECC">
      <w:pPr>
        <w:ind w:firstLine="570"/>
        <w:rPr>
          <w:rStyle w:val="33"/>
          <w:rFonts w:ascii="宋体" w:hAnsi="宋体" w:cs="宋体"/>
          <w:sz w:val="30"/>
          <w:szCs w:val="30"/>
          <w:highlight w:val="none"/>
        </w:rPr>
      </w:pPr>
    </w:p>
    <w:p w14:paraId="3D0D4496">
      <w:pPr>
        <w:ind w:firstLine="570"/>
        <w:rPr>
          <w:rStyle w:val="33"/>
          <w:rFonts w:ascii="宋体" w:hAnsi="宋体" w:cs="宋体"/>
          <w:sz w:val="30"/>
          <w:szCs w:val="30"/>
          <w:highlight w:val="none"/>
        </w:rPr>
      </w:pPr>
    </w:p>
    <w:p w14:paraId="05B12271">
      <w:pPr>
        <w:ind w:firstLine="570"/>
        <w:rPr>
          <w:rStyle w:val="33"/>
          <w:rFonts w:ascii="宋体" w:hAnsi="宋体" w:cs="宋体"/>
          <w:sz w:val="30"/>
          <w:szCs w:val="30"/>
          <w:highlight w:val="none"/>
        </w:rPr>
      </w:pPr>
    </w:p>
    <w:p w14:paraId="2341D243">
      <w:pPr>
        <w:ind w:firstLine="570"/>
        <w:rPr>
          <w:rStyle w:val="33"/>
          <w:rFonts w:ascii="宋体" w:hAnsi="宋体" w:cs="宋体"/>
          <w:sz w:val="30"/>
          <w:szCs w:val="30"/>
          <w:highlight w:val="none"/>
        </w:rPr>
      </w:pPr>
    </w:p>
    <w:p w14:paraId="50C95D4B">
      <w:pPr>
        <w:ind w:firstLine="570"/>
        <w:rPr>
          <w:rStyle w:val="33"/>
          <w:rFonts w:ascii="宋体" w:hAnsi="宋体" w:cs="宋体"/>
          <w:sz w:val="30"/>
          <w:szCs w:val="30"/>
          <w:highlight w:val="none"/>
        </w:rPr>
      </w:pPr>
    </w:p>
    <w:p w14:paraId="05D976C5">
      <w:pPr>
        <w:ind w:firstLine="570"/>
        <w:rPr>
          <w:rStyle w:val="33"/>
          <w:rFonts w:ascii="宋体" w:hAnsi="宋体" w:cs="宋体"/>
          <w:sz w:val="30"/>
          <w:szCs w:val="30"/>
          <w:highlight w:val="none"/>
        </w:rPr>
      </w:pPr>
    </w:p>
    <w:p w14:paraId="33BBFB50">
      <w:pPr>
        <w:ind w:firstLine="570"/>
        <w:rPr>
          <w:rStyle w:val="33"/>
          <w:rFonts w:ascii="宋体" w:hAnsi="宋体" w:cs="宋体"/>
          <w:sz w:val="30"/>
          <w:szCs w:val="30"/>
          <w:highlight w:val="none"/>
        </w:rPr>
      </w:pPr>
    </w:p>
    <w:p w14:paraId="0BB167DC">
      <w:pPr>
        <w:ind w:firstLine="570"/>
        <w:rPr>
          <w:rStyle w:val="33"/>
          <w:rFonts w:ascii="宋体" w:hAnsi="宋体" w:cs="宋体"/>
          <w:sz w:val="30"/>
          <w:szCs w:val="30"/>
          <w:highlight w:val="none"/>
        </w:rPr>
      </w:pPr>
    </w:p>
    <w:p w14:paraId="67CA825F">
      <w:pPr>
        <w:ind w:firstLine="570"/>
        <w:rPr>
          <w:rStyle w:val="33"/>
          <w:rFonts w:ascii="宋体" w:hAnsi="宋体" w:cs="宋体"/>
          <w:sz w:val="30"/>
          <w:szCs w:val="30"/>
          <w:highlight w:val="none"/>
        </w:rPr>
      </w:pPr>
    </w:p>
    <w:p w14:paraId="34DEB8CE">
      <w:pPr>
        <w:ind w:firstLine="570"/>
        <w:rPr>
          <w:rStyle w:val="33"/>
          <w:rFonts w:ascii="宋体" w:hAnsi="宋体" w:cs="宋体"/>
          <w:sz w:val="30"/>
          <w:szCs w:val="30"/>
          <w:highlight w:val="none"/>
        </w:rPr>
      </w:pPr>
    </w:p>
    <w:p w14:paraId="4A4093DC">
      <w:pPr>
        <w:ind w:firstLine="570"/>
        <w:rPr>
          <w:rStyle w:val="33"/>
          <w:rFonts w:ascii="宋体" w:hAnsi="宋体" w:cs="宋体"/>
          <w:sz w:val="30"/>
          <w:szCs w:val="30"/>
          <w:highlight w:val="none"/>
        </w:rPr>
      </w:pPr>
    </w:p>
    <w:p w14:paraId="7A42EE17">
      <w:pPr>
        <w:ind w:firstLine="570"/>
        <w:rPr>
          <w:rStyle w:val="33"/>
          <w:rFonts w:ascii="宋体" w:hAnsi="宋体" w:cs="宋体"/>
          <w:sz w:val="30"/>
          <w:szCs w:val="30"/>
          <w:highlight w:val="none"/>
        </w:rPr>
      </w:pPr>
    </w:p>
    <w:p w14:paraId="6630DF58">
      <w:pPr>
        <w:ind w:firstLine="570"/>
        <w:rPr>
          <w:rStyle w:val="33"/>
          <w:rFonts w:ascii="宋体" w:hAnsi="宋体" w:cs="宋体"/>
          <w:sz w:val="30"/>
          <w:szCs w:val="30"/>
          <w:highlight w:val="none"/>
        </w:rPr>
      </w:pPr>
    </w:p>
    <w:p w14:paraId="596B6C91">
      <w:pPr>
        <w:spacing w:line="360" w:lineRule="auto"/>
        <w:ind w:firstLine="480" w:firstLineChars="200"/>
        <w:rPr>
          <w:rFonts w:ascii="宋体" w:hAnsi="宋体" w:cs="宋体"/>
          <w:sz w:val="24"/>
          <w:szCs w:val="21"/>
          <w:highlight w:val="none"/>
          <w:lang w:val="zh-CN"/>
        </w:rPr>
      </w:pPr>
    </w:p>
    <w:p w14:paraId="6F928D20">
      <w:pPr>
        <w:spacing w:line="360" w:lineRule="auto"/>
        <w:ind w:firstLine="480" w:firstLineChars="200"/>
        <w:rPr>
          <w:rFonts w:ascii="宋体" w:hAnsi="宋体" w:cs="宋体"/>
          <w:sz w:val="24"/>
          <w:szCs w:val="21"/>
          <w:highlight w:val="none"/>
          <w:lang w:val="zh-CN"/>
        </w:rPr>
      </w:pPr>
    </w:p>
    <w:p w14:paraId="11742E82">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4.其他政府采购政策</w:t>
      </w:r>
    </w:p>
    <w:p w14:paraId="7B73723B">
      <w:pPr>
        <w:contextualSpacing/>
        <w:jc w:val="left"/>
        <w:rPr>
          <w:rFonts w:ascii="宋体" w:hAnsi="宋体" w:cs="宋体"/>
          <w:b/>
          <w:bCs/>
          <w:kern w:val="0"/>
          <w:sz w:val="22"/>
          <w:szCs w:val="22"/>
          <w:highlight w:val="none"/>
        </w:rPr>
      </w:pPr>
      <w:r>
        <w:rPr>
          <w:rFonts w:hint="eastAsia" w:ascii="宋体" w:hAnsi="宋体" w:cs="宋体"/>
          <w:b/>
          <w:bCs/>
          <w:kern w:val="0"/>
          <w:sz w:val="22"/>
          <w:szCs w:val="22"/>
          <w:highlight w:val="none"/>
        </w:rPr>
        <w:t>附件1</w:t>
      </w:r>
    </w:p>
    <w:p w14:paraId="2558C438">
      <w:pPr>
        <w:spacing w:line="360" w:lineRule="auto"/>
        <w:jc w:val="center"/>
        <w:rPr>
          <w:rFonts w:ascii="宋体" w:hAnsi="宋体" w:cs="宋体"/>
          <w:b/>
          <w:kern w:val="0"/>
          <w:sz w:val="22"/>
          <w:szCs w:val="22"/>
          <w:highlight w:val="none"/>
        </w:rPr>
      </w:pPr>
      <w:r>
        <w:rPr>
          <w:rFonts w:hint="eastAsia" w:ascii="宋体" w:hAnsi="宋体" w:cs="宋体"/>
          <w:b/>
          <w:kern w:val="0"/>
          <w:sz w:val="22"/>
          <w:szCs w:val="22"/>
          <w:highlight w:val="none"/>
        </w:rPr>
        <w:t>（一）河南省政府采购合同融资政策告知函</w:t>
      </w:r>
    </w:p>
    <w:p w14:paraId="38E55EB8">
      <w:pPr>
        <w:spacing w:line="360" w:lineRule="auto"/>
        <w:rPr>
          <w:rFonts w:ascii="宋体" w:hAnsi="宋体" w:cs="宋体"/>
          <w:kern w:val="0"/>
          <w:sz w:val="22"/>
          <w:szCs w:val="22"/>
          <w:highlight w:val="none"/>
        </w:rPr>
      </w:pPr>
      <w:r>
        <w:rPr>
          <w:rFonts w:hint="eastAsia" w:ascii="宋体" w:hAnsi="宋体" w:cs="宋体"/>
          <w:kern w:val="0"/>
          <w:sz w:val="22"/>
          <w:szCs w:val="22"/>
          <w:highlight w:val="none"/>
        </w:rPr>
        <w:t>各供应商∶</w:t>
      </w:r>
    </w:p>
    <w:p w14:paraId="2F0C4B7A">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欢迎贵公司参与河南省政府采购活动!</w:t>
      </w:r>
    </w:p>
    <w:p w14:paraId="1F8E5092">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25E40B7">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贷款渠道和提供贷款的金融机构，可在河南省政府采购网"河南省政府采购合同融资平台"查询联系。</w:t>
      </w:r>
    </w:p>
    <w:p w14:paraId="4AD05319">
      <w:pPr>
        <w:spacing w:line="360" w:lineRule="auto"/>
        <w:rPr>
          <w:rFonts w:ascii="宋体" w:hAnsi="宋体" w:cs="宋体"/>
          <w:kern w:val="0"/>
          <w:sz w:val="22"/>
          <w:szCs w:val="18"/>
          <w:highlight w:val="none"/>
        </w:rPr>
      </w:pPr>
    </w:p>
    <w:p w14:paraId="312B24B1">
      <w:pPr>
        <w:ind w:firstLine="570"/>
        <w:rPr>
          <w:rStyle w:val="33"/>
          <w:rFonts w:ascii="宋体" w:hAnsi="宋体" w:cs="宋体"/>
          <w:sz w:val="30"/>
          <w:szCs w:val="30"/>
          <w:highlight w:val="none"/>
        </w:rPr>
      </w:pPr>
    </w:p>
    <w:p w14:paraId="2215CEB3">
      <w:pPr>
        <w:ind w:firstLine="570"/>
        <w:rPr>
          <w:rStyle w:val="33"/>
          <w:rFonts w:ascii="宋体" w:hAnsi="宋体" w:cs="宋体"/>
          <w:sz w:val="30"/>
          <w:szCs w:val="30"/>
          <w:highlight w:val="none"/>
        </w:rPr>
      </w:pPr>
    </w:p>
    <w:p w14:paraId="3EE23071">
      <w:pPr>
        <w:ind w:firstLine="570"/>
        <w:rPr>
          <w:rStyle w:val="33"/>
          <w:rFonts w:ascii="宋体" w:hAnsi="宋体" w:cs="宋体"/>
          <w:sz w:val="30"/>
          <w:szCs w:val="30"/>
          <w:highlight w:val="none"/>
        </w:rPr>
      </w:pPr>
    </w:p>
    <w:p w14:paraId="32B679E1">
      <w:pPr>
        <w:ind w:firstLine="570"/>
        <w:rPr>
          <w:rStyle w:val="33"/>
          <w:rFonts w:ascii="宋体" w:hAnsi="宋体" w:cs="宋体"/>
          <w:sz w:val="30"/>
          <w:szCs w:val="30"/>
          <w:highlight w:val="none"/>
        </w:rPr>
      </w:pPr>
    </w:p>
    <w:p w14:paraId="2EDBE404">
      <w:pPr>
        <w:ind w:firstLine="570"/>
        <w:rPr>
          <w:rStyle w:val="33"/>
          <w:rFonts w:ascii="宋体" w:hAnsi="宋体" w:cs="宋体"/>
          <w:sz w:val="30"/>
          <w:szCs w:val="30"/>
          <w:highlight w:val="none"/>
        </w:rPr>
      </w:pPr>
    </w:p>
    <w:p w14:paraId="32D50569">
      <w:pPr>
        <w:ind w:firstLine="570"/>
        <w:rPr>
          <w:rStyle w:val="33"/>
          <w:rFonts w:ascii="宋体" w:hAnsi="宋体" w:cs="宋体"/>
          <w:sz w:val="30"/>
          <w:szCs w:val="30"/>
          <w:highlight w:val="none"/>
        </w:rPr>
      </w:pPr>
    </w:p>
    <w:p w14:paraId="122E1677">
      <w:pPr>
        <w:ind w:firstLine="570"/>
        <w:rPr>
          <w:rStyle w:val="33"/>
          <w:rFonts w:ascii="宋体" w:hAnsi="宋体" w:cs="宋体"/>
          <w:sz w:val="30"/>
          <w:szCs w:val="30"/>
          <w:highlight w:val="none"/>
        </w:rPr>
      </w:pPr>
    </w:p>
    <w:p w14:paraId="0968DD58">
      <w:pPr>
        <w:ind w:firstLine="570"/>
        <w:rPr>
          <w:rStyle w:val="33"/>
          <w:rFonts w:ascii="宋体" w:hAnsi="宋体" w:cs="宋体"/>
          <w:sz w:val="30"/>
          <w:szCs w:val="30"/>
          <w:highlight w:val="none"/>
        </w:rPr>
      </w:pPr>
    </w:p>
    <w:p w14:paraId="5447D97F">
      <w:pPr>
        <w:ind w:firstLine="570"/>
        <w:rPr>
          <w:rStyle w:val="33"/>
          <w:rFonts w:ascii="宋体" w:hAnsi="宋体" w:cs="宋体"/>
          <w:sz w:val="30"/>
          <w:szCs w:val="30"/>
          <w:highlight w:val="none"/>
        </w:rPr>
      </w:pPr>
    </w:p>
    <w:p w14:paraId="56959176">
      <w:pPr>
        <w:ind w:firstLine="570"/>
        <w:rPr>
          <w:rStyle w:val="33"/>
          <w:rFonts w:ascii="宋体" w:hAnsi="宋体" w:cs="宋体"/>
          <w:sz w:val="30"/>
          <w:szCs w:val="30"/>
          <w:highlight w:val="none"/>
        </w:rPr>
      </w:pPr>
    </w:p>
    <w:p w14:paraId="739D1B21">
      <w:pPr>
        <w:ind w:firstLine="570"/>
        <w:rPr>
          <w:rStyle w:val="33"/>
          <w:rFonts w:ascii="宋体" w:hAnsi="宋体" w:cs="宋体"/>
          <w:sz w:val="30"/>
          <w:szCs w:val="30"/>
          <w:highlight w:val="none"/>
        </w:rPr>
      </w:pPr>
    </w:p>
    <w:p w14:paraId="7B5052EB">
      <w:pPr>
        <w:ind w:firstLine="570"/>
        <w:rPr>
          <w:rStyle w:val="33"/>
          <w:rFonts w:ascii="宋体" w:hAnsi="宋体" w:cs="宋体"/>
          <w:sz w:val="30"/>
          <w:szCs w:val="30"/>
          <w:highlight w:val="none"/>
        </w:rPr>
      </w:pPr>
    </w:p>
    <w:p w14:paraId="18B75B70">
      <w:pPr>
        <w:ind w:firstLine="570"/>
        <w:rPr>
          <w:rStyle w:val="33"/>
          <w:rFonts w:ascii="宋体" w:hAnsi="宋体" w:cs="宋体"/>
          <w:sz w:val="30"/>
          <w:szCs w:val="30"/>
          <w:highlight w:val="none"/>
        </w:rPr>
      </w:pPr>
    </w:p>
    <w:p w14:paraId="1B8DBE0C">
      <w:pPr>
        <w:jc w:val="left"/>
        <w:rPr>
          <w:rFonts w:ascii="宋体" w:hAnsi="宋体" w:cs="宋体"/>
          <w:highlight w:val="none"/>
        </w:rPr>
      </w:pPr>
      <w:r>
        <w:rPr>
          <w:rFonts w:hint="eastAsia" w:ascii="宋体" w:hAnsi="宋体" w:cs="宋体"/>
          <w:b/>
          <w:bCs/>
          <w:sz w:val="24"/>
          <w:highlight w:val="none"/>
        </w:rPr>
        <w:drawing>
          <wp:inline distT="0" distB="0" distL="114300" distR="114300">
            <wp:extent cx="5380990" cy="7615555"/>
            <wp:effectExtent l="0" t="0" r="10160" b="4445"/>
            <wp:docPr id="13"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关于印发中小企业划型标准规定的通知（工信部联企业〔2011〕300号）_00"/>
                    <pic:cNvPicPr>
                      <a:picLocks noChangeAspect="1"/>
                    </pic:cNvPicPr>
                  </pic:nvPicPr>
                  <pic:blipFill>
                    <a:blip r:embed="rId14"/>
                    <a:stretch>
                      <a:fillRect/>
                    </a:stretch>
                  </pic:blipFill>
                  <pic:spPr>
                    <a:xfrm>
                      <a:off x="0" y="0"/>
                      <a:ext cx="5380990" cy="7615555"/>
                    </a:xfrm>
                    <a:prstGeom prst="rect">
                      <a:avLst/>
                    </a:prstGeom>
                    <a:noFill/>
                    <a:ln>
                      <a:noFill/>
                    </a:ln>
                  </pic:spPr>
                </pic:pic>
              </a:graphicData>
            </a:graphic>
          </wp:inline>
        </w:drawing>
      </w:r>
      <w:r>
        <w:rPr>
          <w:rFonts w:hint="eastAsia" w:ascii="宋体" w:hAnsi="宋体" w:cs="宋体"/>
          <w:b/>
          <w:bCs/>
          <w:sz w:val="24"/>
          <w:highlight w:val="none"/>
        </w:rPr>
        <w:drawing>
          <wp:inline distT="0" distB="0" distL="114300" distR="114300">
            <wp:extent cx="5615305" cy="7945755"/>
            <wp:effectExtent l="0" t="0" r="4445" b="17145"/>
            <wp:docPr id="14"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关于印发中小企业划型标准规定的通知（工信部联企业〔2011〕300号）_01"/>
                    <pic:cNvPicPr>
                      <a:picLocks noChangeAspect="1"/>
                    </pic:cNvPicPr>
                  </pic:nvPicPr>
                  <pic:blipFill>
                    <a:blip r:embed="rId15"/>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rPr>
        <w:drawing>
          <wp:inline distT="0" distB="0" distL="114300" distR="114300">
            <wp:extent cx="5615305" cy="7945755"/>
            <wp:effectExtent l="0" t="0" r="4445" b="17145"/>
            <wp:docPr id="18"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关于印发中小企业划型标准规定的通知（工信部联企业〔2011〕300号）_02"/>
                    <pic:cNvPicPr>
                      <a:picLocks noChangeAspect="1"/>
                    </pic:cNvPicPr>
                  </pic:nvPicPr>
                  <pic:blipFill>
                    <a:blip r:embed="rId16"/>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rPr>
        <w:drawing>
          <wp:inline distT="0" distB="0" distL="114300" distR="114300">
            <wp:extent cx="5615305" cy="7945755"/>
            <wp:effectExtent l="0" t="0" r="4445" b="17145"/>
            <wp:docPr id="1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印发中小企业划型标准规定的通知（工信部联企业〔2011〕300号）_03"/>
                    <pic:cNvPicPr>
                      <a:picLocks noChangeAspect="1"/>
                    </pic:cNvPicPr>
                  </pic:nvPicPr>
                  <pic:blipFill>
                    <a:blip r:embed="rId17"/>
                    <a:stretch>
                      <a:fillRect/>
                    </a:stretch>
                  </pic:blipFill>
                  <pic:spPr>
                    <a:xfrm>
                      <a:off x="0" y="0"/>
                      <a:ext cx="5615305" cy="7945755"/>
                    </a:xfrm>
                    <a:prstGeom prst="rect">
                      <a:avLst/>
                    </a:prstGeom>
                    <a:noFill/>
                    <a:ln>
                      <a:noFill/>
                    </a:ln>
                  </pic:spPr>
                </pic:pic>
              </a:graphicData>
            </a:graphic>
          </wp:inline>
        </w:drawing>
      </w:r>
    </w:p>
    <w:p w14:paraId="45165B8A">
      <w:pPr>
        <w:spacing w:line="540" w:lineRule="exact"/>
        <w:rPr>
          <w:rFonts w:ascii="宋体" w:hAnsi="宋体" w:cs="宋体"/>
          <w:szCs w:val="21"/>
          <w:highlight w:val="none"/>
        </w:rPr>
      </w:pPr>
    </w:p>
    <w:p w14:paraId="68284734">
      <w:pPr>
        <w:rPr>
          <w:rFonts w:ascii="宋体" w:hAnsi="宋体" w:cs="宋体"/>
          <w:highlight w:val="none"/>
        </w:rPr>
      </w:pPr>
    </w:p>
    <w:p w14:paraId="2B624998">
      <w:pPr>
        <w:rPr>
          <w:rFonts w:ascii="宋体" w:hAnsi="宋体" w:cs="宋体"/>
          <w:highlight w:val="none"/>
        </w:rPr>
      </w:pPr>
    </w:p>
    <w:p w14:paraId="50948AC4">
      <w:pPr>
        <w:rPr>
          <w:rFonts w:ascii="宋体" w:hAnsi="宋体" w:cs="宋体"/>
          <w:highlight w:val="none"/>
        </w:rPr>
      </w:pPr>
    </w:p>
    <w:p w14:paraId="731594CB">
      <w:pPr>
        <w:spacing w:line="276" w:lineRule="auto"/>
        <w:jc w:val="center"/>
        <w:rPr>
          <w:rFonts w:ascii="宋体" w:hAnsi="宋体" w:cs="宋体"/>
          <w:b/>
          <w:bCs/>
          <w:sz w:val="30"/>
          <w:szCs w:val="30"/>
          <w:highlight w:val="none"/>
        </w:rPr>
      </w:pPr>
      <w:r>
        <w:rPr>
          <w:rFonts w:hint="eastAsia" w:ascii="宋体" w:hAnsi="宋体" w:cs="宋体"/>
          <w:b/>
          <w:bCs/>
          <w:sz w:val="30"/>
          <w:szCs w:val="30"/>
          <w:highlight w:val="none"/>
        </w:rPr>
        <w:t>全流程电子化交易注意事项</w:t>
      </w:r>
    </w:p>
    <w:p w14:paraId="6C587BE0">
      <w:pPr>
        <w:spacing w:line="276" w:lineRule="auto"/>
        <w:ind w:firstLine="315" w:firstLineChars="150"/>
        <w:rPr>
          <w:rFonts w:ascii="宋体" w:hAnsi="宋体" w:cs="宋体"/>
          <w:highlight w:val="none"/>
        </w:rPr>
      </w:pPr>
      <w:r>
        <w:rPr>
          <w:rFonts w:hint="eastAsia" w:ascii="宋体" w:hAnsi="宋体" w:cs="宋体"/>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50BE81B6">
      <w:pPr>
        <w:spacing w:line="271" w:lineRule="auto"/>
        <w:rPr>
          <w:rFonts w:ascii="宋体" w:hAnsi="宋体" w:cs="宋体"/>
          <w:highlight w:val="none"/>
        </w:rPr>
      </w:pPr>
      <w:r>
        <w:rPr>
          <w:rFonts w:hint="eastAsia" w:ascii="宋体" w:hAnsi="宋体" w:cs="宋体"/>
          <w:highlight w:val="none"/>
        </w:rPr>
        <w:t>一、电子化投标</w:t>
      </w:r>
    </w:p>
    <w:p w14:paraId="28FD059B">
      <w:pPr>
        <w:spacing w:line="271" w:lineRule="auto"/>
        <w:rPr>
          <w:rFonts w:ascii="宋体" w:hAnsi="宋体" w:cs="宋体"/>
          <w:highlight w:val="none"/>
        </w:rPr>
      </w:pPr>
      <w:r>
        <w:rPr>
          <w:rFonts w:hint="eastAsia" w:ascii="宋体" w:hAnsi="宋体" w:cs="宋体"/>
          <w:highlight w:val="none"/>
        </w:rPr>
        <w:t>（一）网上投标保证金的缴纳</w:t>
      </w:r>
    </w:p>
    <w:p w14:paraId="2E186B30">
      <w:pPr>
        <w:spacing w:line="271" w:lineRule="auto"/>
        <w:rPr>
          <w:rFonts w:ascii="宋体" w:hAnsi="宋体" w:cs="宋体"/>
          <w:highlight w:val="none"/>
        </w:rPr>
      </w:pPr>
      <w:r>
        <w:rPr>
          <w:rFonts w:hint="eastAsia" w:ascii="宋体" w:hAnsi="宋体" w:cs="宋体"/>
          <w:highlight w:val="none"/>
        </w:rPr>
        <w:t>1、递交形式: 投标人的投标保证金必须通过投标人基本账户以转账或电汇的形式缴纳（账户必须是已加入平顶山市公共资源交易投标人或供应商诚信库中的账户）。</w:t>
      </w:r>
    </w:p>
    <w:p w14:paraId="5290FDBE">
      <w:pPr>
        <w:spacing w:line="271" w:lineRule="auto"/>
        <w:rPr>
          <w:rFonts w:ascii="宋体" w:hAnsi="宋体" w:cs="宋体"/>
          <w:highlight w:val="none"/>
        </w:rPr>
      </w:pPr>
      <w:r>
        <w:rPr>
          <w:rFonts w:hint="eastAsia" w:ascii="宋体" w:hAnsi="宋体" w:cs="宋体"/>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329A21AD">
      <w:pPr>
        <w:spacing w:line="271" w:lineRule="auto"/>
        <w:rPr>
          <w:rFonts w:ascii="宋体" w:hAnsi="宋体" w:cs="宋体"/>
          <w:highlight w:val="none"/>
        </w:rPr>
      </w:pPr>
      <w:r>
        <w:rPr>
          <w:rFonts w:hint="eastAsia" w:ascii="宋体" w:hAnsi="宋体" w:cs="宋体"/>
          <w:highlight w:val="none"/>
        </w:rPr>
        <w:t>3、投标人在成功绑定后，可以将系统生成的回执单图片制作在投标文件中，作为缴纳保证金的依据。</w:t>
      </w:r>
    </w:p>
    <w:p w14:paraId="6928BF85">
      <w:pPr>
        <w:spacing w:line="271" w:lineRule="auto"/>
        <w:rPr>
          <w:rFonts w:ascii="宋体" w:hAnsi="宋体" w:cs="宋体"/>
          <w:highlight w:val="none"/>
        </w:rPr>
      </w:pPr>
      <w:r>
        <w:rPr>
          <w:rFonts w:hint="eastAsia" w:ascii="宋体" w:hAnsi="宋体" w:cs="宋体"/>
          <w:highlight w:val="none"/>
        </w:rPr>
        <w:t>4、投标人应仔细阅读操作手册并充分考虑异地跨行转账到账时间等因素，因投标人操作不当或银行到账时间等问题造成保证金无法正常绑定影响投标的，由投标人自行承担后果。</w:t>
      </w:r>
    </w:p>
    <w:p w14:paraId="1049DE8F">
      <w:pPr>
        <w:spacing w:line="271" w:lineRule="auto"/>
        <w:rPr>
          <w:rFonts w:ascii="宋体" w:hAnsi="宋体" w:cs="宋体"/>
          <w:highlight w:val="none"/>
        </w:rPr>
      </w:pPr>
      <w:r>
        <w:rPr>
          <w:rFonts w:hint="eastAsia" w:ascii="宋体" w:hAnsi="宋体" w:cs="宋体"/>
          <w:highlight w:val="none"/>
        </w:rPr>
        <w:t>5、未中标投标人的投标保证金在项目结束后，由中介服务机构向中心项目负责人提出退款申请，项目负责人同意并经财务部门核对后，通过中心交易平台退还给投标人。</w:t>
      </w:r>
    </w:p>
    <w:p w14:paraId="192CB304">
      <w:pPr>
        <w:spacing w:line="271" w:lineRule="auto"/>
        <w:rPr>
          <w:rFonts w:ascii="宋体" w:hAnsi="宋体" w:cs="宋体"/>
          <w:highlight w:val="none"/>
        </w:rPr>
      </w:pPr>
      <w:r>
        <w:rPr>
          <w:rFonts w:hint="eastAsia" w:ascii="宋体" w:hAnsi="宋体" w:cs="宋体"/>
          <w:highlight w:val="none"/>
        </w:rPr>
        <w:t>（二）电子化投标文件的签章</w:t>
      </w:r>
    </w:p>
    <w:p w14:paraId="277295B9">
      <w:pPr>
        <w:spacing w:line="271" w:lineRule="auto"/>
        <w:rPr>
          <w:rFonts w:ascii="宋体" w:hAnsi="宋体" w:cs="宋体"/>
          <w:highlight w:val="none"/>
        </w:rPr>
      </w:pPr>
      <w:r>
        <w:rPr>
          <w:rFonts w:hint="eastAsia" w:ascii="宋体" w:hAnsi="宋体" w:cs="宋体"/>
          <w:highlight w:val="none"/>
        </w:rPr>
        <w:t>1、投标人在生成电子化投标文件后，应对电子化投标文件进行签章，未进行签章的视为无效投标。</w:t>
      </w:r>
    </w:p>
    <w:p w14:paraId="5FB02DD0">
      <w:pPr>
        <w:spacing w:line="271" w:lineRule="auto"/>
        <w:rPr>
          <w:rFonts w:ascii="宋体" w:hAnsi="宋体" w:cs="宋体"/>
          <w:highlight w:val="none"/>
        </w:rPr>
      </w:pPr>
      <w:r>
        <w:rPr>
          <w:rFonts w:hint="eastAsia" w:ascii="宋体" w:hAnsi="宋体" w:cs="宋体"/>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0F12E2B8">
      <w:pPr>
        <w:spacing w:line="271" w:lineRule="auto"/>
        <w:rPr>
          <w:rFonts w:ascii="宋体" w:hAnsi="宋体" w:cs="宋体"/>
          <w:highlight w:val="none"/>
        </w:rPr>
      </w:pPr>
      <w:r>
        <w:rPr>
          <w:rFonts w:hint="eastAsia" w:ascii="宋体" w:hAnsi="宋体" w:cs="宋体"/>
          <w:highlight w:val="none"/>
        </w:rPr>
        <w:t>（三）电子化投标文件的格式及上传投标</w:t>
      </w:r>
    </w:p>
    <w:p w14:paraId="2463400C">
      <w:pPr>
        <w:spacing w:line="271" w:lineRule="auto"/>
        <w:rPr>
          <w:rFonts w:ascii="宋体" w:hAnsi="宋体" w:cs="宋体"/>
          <w:highlight w:val="none"/>
        </w:rPr>
      </w:pPr>
      <w:r>
        <w:rPr>
          <w:rFonts w:hint="eastAsia" w:ascii="宋体" w:hAnsi="宋体" w:cs="宋体"/>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1D89B23C">
      <w:pPr>
        <w:spacing w:line="271" w:lineRule="auto"/>
        <w:rPr>
          <w:rFonts w:ascii="宋体" w:hAnsi="宋体" w:cs="宋体"/>
          <w:highlight w:val="none"/>
        </w:rPr>
      </w:pPr>
      <w:r>
        <w:rPr>
          <w:rFonts w:hint="eastAsia" w:ascii="宋体" w:hAnsi="宋体" w:cs="宋体"/>
          <w:highlight w:val="none"/>
        </w:rPr>
        <w:t>注：（1）投标人投报多个标段的，根据标段制作各个标段的投标文件后上传</w:t>
      </w:r>
    </w:p>
    <w:p w14:paraId="2556C9C6">
      <w:pPr>
        <w:spacing w:line="271" w:lineRule="auto"/>
        <w:rPr>
          <w:rFonts w:ascii="宋体" w:hAnsi="宋体" w:cs="宋体"/>
          <w:highlight w:val="none"/>
        </w:rPr>
      </w:pPr>
      <w:r>
        <w:rPr>
          <w:rFonts w:hint="eastAsia" w:ascii="宋体" w:hAnsi="宋体" w:cs="宋体"/>
          <w:highlight w:val="none"/>
        </w:rPr>
        <w:t>2、电子化投标文件应在投标截止时间前成功上传至平顶山市公共资源电子化交易系统。至投标截止时间止，仍未上传成功的电子化投标文件将不予接收。</w:t>
      </w:r>
    </w:p>
    <w:p w14:paraId="67463F1F">
      <w:pPr>
        <w:spacing w:line="271" w:lineRule="auto"/>
        <w:rPr>
          <w:rFonts w:ascii="宋体" w:hAnsi="宋体" w:cs="宋体"/>
          <w:highlight w:val="none"/>
        </w:rPr>
      </w:pPr>
      <w:r>
        <w:rPr>
          <w:rFonts w:hint="eastAsia" w:ascii="宋体" w:hAnsi="宋体" w:cs="宋体"/>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5CA63073">
      <w:pPr>
        <w:spacing w:line="271" w:lineRule="auto"/>
        <w:rPr>
          <w:rFonts w:ascii="宋体" w:hAnsi="宋体" w:cs="宋体"/>
          <w:highlight w:val="none"/>
        </w:rPr>
      </w:pPr>
      <w:r>
        <w:rPr>
          <w:rFonts w:hint="eastAsia" w:ascii="宋体" w:hAnsi="宋体" w:cs="宋体"/>
          <w:highlight w:val="none"/>
        </w:rPr>
        <w:t>（四）电子化项目开标、解密、唱标、评标</w:t>
      </w:r>
    </w:p>
    <w:p w14:paraId="739953B7">
      <w:pPr>
        <w:spacing w:line="271" w:lineRule="auto"/>
        <w:rPr>
          <w:rFonts w:ascii="宋体" w:hAnsi="宋体" w:cs="宋体"/>
          <w:highlight w:val="none"/>
        </w:rPr>
      </w:pPr>
      <w:r>
        <w:rPr>
          <w:rFonts w:hint="eastAsia" w:ascii="宋体" w:hAnsi="宋体" w:cs="宋体"/>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1DA8268C">
      <w:pPr>
        <w:spacing w:line="271" w:lineRule="auto"/>
        <w:rPr>
          <w:rFonts w:ascii="宋体" w:hAnsi="宋体" w:cs="宋体"/>
          <w:highlight w:val="none"/>
        </w:rPr>
      </w:pPr>
      <w:r>
        <w:rPr>
          <w:rFonts w:hint="eastAsia" w:ascii="宋体" w:hAnsi="宋体" w:cs="宋体"/>
          <w:highlight w:val="none"/>
        </w:rPr>
        <w:t>2、电子化投标文件解密异常的处理</w:t>
      </w:r>
    </w:p>
    <w:p w14:paraId="2980F863">
      <w:pPr>
        <w:spacing w:line="271" w:lineRule="auto"/>
        <w:rPr>
          <w:rFonts w:ascii="宋体" w:hAnsi="宋体" w:cs="宋体"/>
          <w:highlight w:val="none"/>
        </w:rPr>
      </w:pPr>
      <w:r>
        <w:rPr>
          <w:rFonts w:hint="eastAsia" w:ascii="宋体" w:hAnsi="宋体" w:cs="宋体"/>
          <w:highlight w:val="none"/>
        </w:rPr>
        <w:t>如出现投标人的电子投标文件无法解密的情况，投标人应及时联系中介服务机构说明。投标文件解密异常，按以下步骤进行处理：</w:t>
      </w:r>
    </w:p>
    <w:p w14:paraId="19241FA5">
      <w:pPr>
        <w:spacing w:line="271" w:lineRule="auto"/>
        <w:rPr>
          <w:rFonts w:ascii="宋体" w:hAnsi="宋体" w:cs="宋体"/>
          <w:highlight w:val="none"/>
        </w:rPr>
      </w:pPr>
      <w:r>
        <w:rPr>
          <w:rFonts w:hint="eastAsia" w:ascii="宋体" w:hAnsi="宋体" w:cs="宋体"/>
          <w:highlight w:val="none"/>
        </w:rPr>
        <w:t>（1）首先由技术人员进行问题排查。</w:t>
      </w:r>
    </w:p>
    <w:p w14:paraId="123057E9">
      <w:pPr>
        <w:spacing w:line="271" w:lineRule="auto"/>
        <w:rPr>
          <w:rFonts w:ascii="宋体" w:hAnsi="宋体" w:cs="宋体"/>
          <w:highlight w:val="none"/>
        </w:rPr>
      </w:pPr>
      <w:r>
        <w:rPr>
          <w:rFonts w:hint="eastAsia" w:ascii="宋体" w:hAnsi="宋体" w:cs="宋体"/>
          <w:highlight w:val="none"/>
        </w:rPr>
        <w:t>（2）经技术人员排查后，是投标人文件自身问题导致投标文件无法解密的，该投标文件将不予接收、解密和唱标，开标会议继续进行。</w:t>
      </w:r>
    </w:p>
    <w:p w14:paraId="1CB49CB0">
      <w:pPr>
        <w:spacing w:line="271" w:lineRule="auto"/>
        <w:rPr>
          <w:rFonts w:ascii="宋体" w:hAnsi="宋体" w:cs="宋体"/>
          <w:highlight w:val="none"/>
        </w:rPr>
      </w:pPr>
      <w:r>
        <w:rPr>
          <w:rFonts w:hint="eastAsia" w:ascii="宋体" w:hAnsi="宋体" w:cs="宋体"/>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7ACC485B">
      <w:pPr>
        <w:spacing w:line="271" w:lineRule="auto"/>
        <w:rPr>
          <w:rFonts w:ascii="宋体" w:hAnsi="宋体" w:cs="宋体"/>
          <w:highlight w:val="none"/>
        </w:rPr>
      </w:pPr>
      <w:r>
        <w:rPr>
          <w:rFonts w:hint="eastAsia" w:ascii="宋体" w:hAnsi="宋体" w:cs="宋体"/>
          <w:highlight w:val="none"/>
        </w:rPr>
        <w:t>3、待所有投标人投标文件解密完成后，由中介服务机构操作，对所有已解密投标文件进行唱标。</w:t>
      </w:r>
    </w:p>
    <w:p w14:paraId="189701E8">
      <w:pPr>
        <w:spacing w:line="271" w:lineRule="auto"/>
        <w:rPr>
          <w:rFonts w:ascii="宋体" w:hAnsi="宋体" w:cs="宋体"/>
          <w:highlight w:val="none"/>
        </w:rPr>
      </w:pPr>
      <w:r>
        <w:rPr>
          <w:rFonts w:hint="eastAsia" w:ascii="宋体" w:hAnsi="宋体" w:cs="宋体"/>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1088B08C">
      <w:pPr>
        <w:spacing w:line="271" w:lineRule="auto"/>
        <w:rPr>
          <w:rFonts w:ascii="宋体" w:hAnsi="宋体" w:cs="宋体"/>
          <w:highlight w:val="none"/>
        </w:rPr>
      </w:pPr>
      <w:r>
        <w:rPr>
          <w:rFonts w:hint="eastAsia" w:ascii="宋体" w:hAnsi="宋体" w:cs="宋体"/>
          <w:highlight w:val="none"/>
        </w:rPr>
        <w:t>5、如评标委员会对需要回复的投标人回复内容有异议的，经过几次回复仍不清楚的，需在监督下进行免提电话进行质疑。</w:t>
      </w:r>
    </w:p>
    <w:p w14:paraId="158D31A9">
      <w:pPr>
        <w:pStyle w:val="18"/>
        <w:ind w:left="151" w:leftChars="23" w:hanging="103" w:hangingChars="47"/>
        <w:rPr>
          <w:highlight w:val="none"/>
        </w:rPr>
      </w:pPr>
      <w:r>
        <w:rPr>
          <w:rFonts w:hint="eastAsia"/>
          <w:highlight w:val="none"/>
        </w:rPr>
        <w:t>6、评标时如因系统异常、停电、电脑病毒、网络堵塞等原因无法正常进行的，由技术人员排查解决，短时间无法解决的，经监督部门同意后，暂停评标活动，待问题解决后继续评标。</w:t>
      </w:r>
    </w:p>
    <w:p w14:paraId="46B3C142">
      <w:pPr>
        <w:rPr>
          <w:rFonts w:ascii="宋体" w:hAnsi="宋体" w:cs="宋体"/>
          <w:highlight w:val="none"/>
        </w:rPr>
      </w:pPr>
    </w:p>
    <w:p w14:paraId="34F831A4">
      <w:pPr>
        <w:rPr>
          <w:rFonts w:ascii="宋体" w:hAnsi="宋体" w:cs="宋体"/>
          <w:highlight w:val="none"/>
        </w:rPr>
      </w:pPr>
    </w:p>
    <w:p w14:paraId="35C808EF">
      <w:pPr>
        <w:pStyle w:val="34"/>
        <w:ind w:firstLine="520"/>
        <w:rPr>
          <w:rFonts w:ascii="宋体" w:hAnsi="宋体" w:cs="宋体"/>
          <w:color w:val="auto"/>
          <w:highlight w:val="none"/>
        </w:rPr>
      </w:pPr>
    </w:p>
    <w:p w14:paraId="4E6EF107">
      <w:pPr>
        <w:pStyle w:val="34"/>
        <w:ind w:firstLine="520"/>
        <w:rPr>
          <w:rFonts w:ascii="宋体" w:hAnsi="宋体" w:cs="宋体"/>
          <w:color w:val="auto"/>
          <w:highlight w:val="none"/>
        </w:rPr>
      </w:pPr>
    </w:p>
    <w:p w14:paraId="5A4540D0">
      <w:pPr>
        <w:pStyle w:val="34"/>
        <w:ind w:firstLine="520"/>
        <w:rPr>
          <w:rFonts w:ascii="宋体" w:hAnsi="宋体" w:cs="宋体"/>
          <w:color w:val="auto"/>
          <w:highlight w:val="none"/>
        </w:rPr>
      </w:pPr>
    </w:p>
    <w:p w14:paraId="5C9E73D6">
      <w:pPr>
        <w:pStyle w:val="34"/>
        <w:ind w:firstLine="520"/>
        <w:rPr>
          <w:rFonts w:ascii="宋体" w:hAnsi="宋体" w:cs="宋体"/>
          <w:color w:val="auto"/>
          <w:highlight w:val="none"/>
        </w:rPr>
      </w:pPr>
    </w:p>
    <w:p w14:paraId="72BA5A8C">
      <w:pPr>
        <w:pStyle w:val="34"/>
        <w:ind w:firstLine="520"/>
        <w:rPr>
          <w:rFonts w:ascii="宋体" w:hAnsi="宋体" w:cs="宋体"/>
          <w:color w:val="auto"/>
          <w:highlight w:val="none"/>
        </w:rPr>
      </w:pPr>
    </w:p>
    <w:p w14:paraId="5AED4C7B">
      <w:pPr>
        <w:pStyle w:val="34"/>
        <w:ind w:firstLine="520"/>
        <w:rPr>
          <w:rFonts w:ascii="宋体" w:hAnsi="宋体" w:cs="宋体"/>
          <w:color w:val="auto"/>
          <w:highlight w:val="none"/>
        </w:rPr>
      </w:pPr>
    </w:p>
    <w:p w14:paraId="0F176E3E">
      <w:pPr>
        <w:pStyle w:val="34"/>
        <w:ind w:firstLine="520"/>
        <w:rPr>
          <w:rFonts w:ascii="宋体" w:hAnsi="宋体" w:cs="宋体"/>
          <w:color w:val="auto"/>
          <w:highlight w:val="none"/>
        </w:rPr>
      </w:pPr>
    </w:p>
    <w:p w14:paraId="1745F8B7">
      <w:pPr>
        <w:pStyle w:val="34"/>
        <w:ind w:firstLine="520"/>
        <w:rPr>
          <w:rFonts w:ascii="宋体" w:hAnsi="宋体" w:cs="宋体"/>
          <w:color w:val="auto"/>
          <w:highlight w:val="none"/>
        </w:rPr>
      </w:pPr>
    </w:p>
    <w:p w14:paraId="310A79B9">
      <w:pPr>
        <w:pStyle w:val="34"/>
        <w:ind w:firstLine="520"/>
        <w:rPr>
          <w:rFonts w:ascii="宋体" w:hAnsi="宋体" w:cs="宋体"/>
          <w:color w:val="auto"/>
          <w:highlight w:val="none"/>
        </w:rPr>
      </w:pPr>
    </w:p>
    <w:p w14:paraId="477AAE96">
      <w:pPr>
        <w:pStyle w:val="34"/>
        <w:ind w:firstLine="520"/>
        <w:rPr>
          <w:rFonts w:ascii="宋体" w:hAnsi="宋体" w:cs="宋体"/>
          <w:color w:val="auto"/>
          <w:highlight w:val="none"/>
        </w:rPr>
      </w:pPr>
    </w:p>
    <w:p w14:paraId="54917108">
      <w:pPr>
        <w:pStyle w:val="34"/>
        <w:ind w:firstLine="520"/>
        <w:rPr>
          <w:rFonts w:ascii="宋体" w:hAnsi="宋体" w:cs="宋体"/>
          <w:color w:val="auto"/>
          <w:highlight w:val="none"/>
        </w:rPr>
      </w:pPr>
    </w:p>
    <w:p w14:paraId="314DB1F4">
      <w:pPr>
        <w:pStyle w:val="34"/>
        <w:ind w:firstLine="520"/>
        <w:rPr>
          <w:rFonts w:ascii="宋体" w:hAnsi="宋体" w:cs="宋体"/>
          <w:color w:val="auto"/>
          <w:highlight w:val="none"/>
        </w:rPr>
      </w:pPr>
    </w:p>
    <w:p w14:paraId="3AB3BD71">
      <w:pPr>
        <w:rPr>
          <w:rFonts w:ascii="宋体" w:hAnsi="宋体" w:cs="宋体"/>
          <w:highlight w:val="none"/>
        </w:rPr>
      </w:pPr>
    </w:p>
    <w:p w14:paraId="6307F6FD">
      <w:pPr>
        <w:rPr>
          <w:rFonts w:ascii="宋体" w:hAnsi="宋体" w:cs="宋体"/>
          <w:highlight w:val="none"/>
        </w:rPr>
      </w:pPr>
    </w:p>
    <w:p w14:paraId="752A266C">
      <w:pPr>
        <w:rPr>
          <w:rFonts w:ascii="宋体" w:hAnsi="宋体" w:cs="宋体"/>
          <w:highlight w:val="none"/>
        </w:rPr>
      </w:pPr>
    </w:p>
    <w:p w14:paraId="55EF5584">
      <w:pPr>
        <w:rPr>
          <w:rFonts w:ascii="宋体" w:hAnsi="宋体" w:cs="宋体"/>
          <w:highlight w:val="none"/>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CBD1">
    <w:pPr>
      <w:pStyle w:val="3"/>
      <w:spacing w:line="14" w:lineRule="auto"/>
      <w:rPr>
        <w:sz w:val="18"/>
      </w:rPr>
    </w:pPr>
    <w:r>
      <w:rPr>
        <w:lang w:val="en-US"/>
      </w:rPr>
      <w:pict>
        <v:shape id="文本框 4" o:spid="_x0000_s1026" o:spt="202" type="#_x0000_t202" style="position:absolute;left:0pt;margin-left:191.25pt;margin-top:0pt;height:144pt;width:144pt;mso-position-horizontal-relative:margin;mso-wrap-style:none;z-index:251659264;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CWRiC2zQEAAKcDAAAOAAAAZHJzL2Uyb0RvYy54bWytU82O0zAQ&#10;viPxDpbvNGkF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KMycsPfjl+7fLj1+X&#10;n1/Zy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CWRiC2zQEAAKcDAAAOAAAAAAAAAAEAIAAAACMBAABk&#10;cnMvZTJvRG9jLnhtbFBLBQYAAAAABgAGAFkBAABiBQAAAAA=&#10;">
          <v:path/>
          <v:fill on="f" focussize="0,0"/>
          <v:stroke on="f" joinstyle="miter"/>
          <v:imagedata o:title=""/>
          <o:lock v:ext="edit"/>
          <v:textbox inset="0mm,0mm,0mm,0mm" style="mso-fit-shape-to-text:t;">
            <w:txbxContent>
              <w:p w14:paraId="72AEEF83">
                <w:pPr>
                  <w:pStyle w:val="20"/>
                </w:pPr>
              </w:p>
            </w:txbxContent>
          </v:textbox>
        </v:shape>
      </w:pict>
    </w:r>
    <w:r>
      <w:rPr>
        <w:lang w:val="en-US"/>
      </w:rPr>
      <w:pict>
        <v:shape id="文本框 5" o:spid="_x0000_s1036" o:spt="202" type="#_x0000_t202" style="position:absolute;left:0pt;margin-top:0pt;height:144pt;width:25.9pt;mso-position-horizontal:center;mso-position-horizontal-relative:margin;z-index:251660288;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XN5W0wAAAAQBAAAPAAAAAAAAAAEAIAAAACIAAABkcnMvZG93bnJldi54&#10;bWxQSwECFAAUAAAACACHTuJAqMIMyDgCAABkBAAADgAAAAAAAAABACAAAAAiAQAAZHJzL2Uyb0Rv&#10;Yy54bWxQSwUGAAAAAAYABgBZAQAAzAUAAAAA&#10;">
          <v:path/>
          <v:fill on="f" focussize="0,0"/>
          <v:stroke on="f" weight="0.5pt" joinstyle="miter"/>
          <v:imagedata o:title=""/>
          <o:lock v:ext="edit"/>
          <v:textbox inset="0mm,0mm,0mm,0mm" style="mso-fit-shape-to-text:t;">
            <w:txbxContent>
              <w:p w14:paraId="550E9314">
                <w:pPr>
                  <w:pStyle w:val="20"/>
                  <w:rPr>
                    <w:b/>
                    <w:bCs/>
                  </w:rPr>
                </w:pPr>
              </w:p>
            </w:txbxContent>
          </v:textbox>
        </v:shape>
      </w:pict>
    </w:r>
    <w:r>
      <w:rPr>
        <w:lang w:val="en-US"/>
      </w:rPr>
      <w:pict>
        <v:shape id="文本框 6" o:spid="_x0000_s1035" o:spt="202" type="#_x0000_t202" style="position:absolute;left:0pt;margin-left:296.6pt;margin-top:764.1pt;height:12pt;width:13.15pt;mso-position-horizontal-relative:page;mso-position-vertical-relative:page;z-index:-251654144;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mA2HxwEAAIkDAAAOAAAAAAAAAAEAIAAAACkBAABk&#10;cnMvZTJvRG9jLnhtbFBLBQYAAAAABgAGAFkBAABiBQAAAAA=&#10;">
          <v:path/>
          <v:fill on="f" focussize="0,0"/>
          <v:stroke on="f" joinstyle="miter"/>
          <v:imagedata o:title=""/>
          <o:lock v:ext="edit"/>
          <v:textbox inset="0mm,0mm,0mm,0mm">
            <w:txbxContent>
              <w:p w14:paraId="4C6AB92C">
                <w:pPr>
                  <w:spacing w:before="12"/>
                  <w:rPr>
                    <w:rFonts w:ascii="Times New Roman"/>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00E86">
    <w:pPr>
      <w:pStyle w:val="3"/>
      <w:spacing w:line="14" w:lineRule="auto"/>
      <w:rPr>
        <w:sz w:val="18"/>
      </w:rPr>
    </w:pPr>
    <w:r>
      <w:pict>
        <v:shape id="_x0000_s1034" o:spid="_x0000_s1034"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7D74BCE3">
                <w:pPr>
                  <w:pStyle w:val="20"/>
                </w:pPr>
                <w:r>
                  <w:fldChar w:fldCharType="begin"/>
                </w:r>
                <w:r>
                  <w:instrText xml:space="preserve"> PAGE  \* MERGEFORMAT </w:instrText>
                </w:r>
                <w:r>
                  <w:fldChar w:fldCharType="separate"/>
                </w:r>
                <w:r>
                  <w:t>3</w:t>
                </w:r>
                <w:r>
                  <w:fldChar w:fldCharType="end"/>
                </w:r>
              </w:p>
            </w:txbxContent>
          </v:textbox>
        </v:shape>
      </w:pict>
    </w:r>
    <w:r>
      <w:rPr>
        <w:lang w:val="en-US"/>
      </w:rPr>
      <w:pict>
        <v:shape id="_x0000_s1033" o:spid="_x0000_s1033" o:spt="202" type="#_x0000_t202" style="position:absolute;left:0pt;margin-left:191.25pt;margin-top:0pt;height:144pt;width:144pt;mso-position-horizontal-relative:margin;mso-wrap-style:none;z-index:251666432;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D4xY87zQEAAKcDAAAOAAAAZHJzL2Uyb0RvYy54bWytU82O0zAQ&#10;viPxDpbvNGlB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SMycsPfjl+7fLj1+X&#10;n1/Zq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D4xY87zQEAAKcDAAAOAAAAAAAAAAEAIAAAACMBAABk&#10;cnMvZTJvRG9jLnhtbFBLBQYAAAAABgAGAFkBAABiBQAAAAA=&#10;">
          <v:path/>
          <v:fill on="f" focussize="0,0"/>
          <v:stroke on="f" joinstyle="miter"/>
          <v:imagedata o:title=""/>
          <o:lock v:ext="edit"/>
          <v:textbox inset="0mm,0mm,0mm,0mm" style="mso-fit-shape-to-text:t;">
            <w:txbxContent>
              <w:p w14:paraId="07B28BCD">
                <w:pPr>
                  <w:pStyle w:val="20"/>
                </w:pPr>
              </w:p>
            </w:txbxContent>
          </v:textbox>
        </v:shape>
      </w:pict>
    </w:r>
    <w:r>
      <w:rPr>
        <w:lang w:val="en-US"/>
      </w:rPr>
      <w:pict>
        <v:shape id="_x0000_s1032" o:spid="_x0000_s1032" o:spt="202" type="#_x0000_t202" style="position:absolute;left:0pt;margin-top:0pt;height:144pt;width:25.9pt;mso-position-horizontal:center;mso-position-horizontal-relative:margin;z-index:251667456;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c3lbTAAAABAEAAA8AAAAAAAAAAQAgAAAAIgAAAGRycy9kb3ducmV2&#10;LnhtbFBLAQIUABQAAAAIAIdO4kBUNzbBOgIAAGQEAAAOAAAAAAAAAAEAIAAAACIBAABkcnMvZTJv&#10;RG9jLnhtbFBLBQYAAAAABgAGAFkBAADOBQAAAAA=&#10;">
          <v:path/>
          <v:fill on="f" focussize="0,0"/>
          <v:stroke on="f" weight="0.5pt" joinstyle="miter"/>
          <v:imagedata o:title=""/>
          <o:lock v:ext="edit"/>
          <v:textbox inset="0mm,0mm,0mm,0mm" style="mso-fit-shape-to-text:t;">
            <w:txbxContent>
              <w:p w14:paraId="1FFF6DFC">
                <w:pPr>
                  <w:pStyle w:val="20"/>
                  <w:rPr>
                    <w:b/>
                    <w:bCs/>
                  </w:rPr>
                </w:pPr>
              </w:p>
            </w:txbxContent>
          </v:textbox>
        </v:shape>
      </w:pict>
    </w:r>
    <w:r>
      <w:rPr>
        <w:lang w:val="en-US"/>
      </w:rPr>
      <w:pict>
        <v:shape id="_x0000_s1031" o:spid="_x0000_s1031" o:spt="202" type="#_x0000_t202" style="position:absolute;left:0pt;margin-left:296.6pt;margin-top:764.1pt;height:12pt;width:13.15pt;mso-position-horizontal-relative:page;mso-position-vertical-relative:page;z-index:-251646976;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LsE+AxwEAAIgDAAAOAAAAAAAAAAEAIAAAACkBAABk&#10;cnMvZTJvRG9jLnhtbFBLBQYAAAAABgAGAFkBAABiBQAAAAA=&#10;">
          <v:path/>
          <v:fill on="f" focussize="0,0"/>
          <v:stroke on="f" joinstyle="miter"/>
          <v:imagedata o:title=""/>
          <o:lock v:ext="edit"/>
          <v:textbox inset="0mm,0mm,0mm,0mm">
            <w:txbxContent>
              <w:p w14:paraId="408518E8">
                <w:pPr>
                  <w:spacing w:before="12"/>
                  <w:rPr>
                    <w:rFonts w:ascii="Times New Roman"/>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5D9B2">
    <w:pPr>
      <w:spacing w:line="176" w:lineRule="auto"/>
      <w:ind w:left="5261"/>
      <w:rPr>
        <w:rFonts w:ascii="Times New Roman" w:hAnsi="Times New Roman" w:eastAsia="Times New Roman"/>
        <w:sz w:val="18"/>
        <w:szCs w:val="18"/>
      </w:rPr>
    </w:pPr>
    <w:r>
      <w:rPr>
        <w:sz w:val="18"/>
      </w:rPr>
      <w:pict>
        <v:shape id="_x0000_s1030" o:spid="_x0000_s1030" o:spt="202" type="#_x0000_t202" style="position:absolute;left:0pt;margin-left:228pt;margin-top:0pt;height:144pt;width:16.1pt;mso-position-horizontal-relative:margin;z-index:251663360;mso-width-relative:page;mso-height-relative:page;" filled="f" stroked="f" coordsize="21600,21600">
          <v:path/>
          <v:fill on="f" focussize="0,0"/>
          <v:stroke on="f" weight="0.5pt"/>
          <v:imagedata o:title=""/>
          <o:lock v:ext="edit" aspectratio="f"/>
          <v:textbox inset="0mm,0mm,0mm,0mm" style="mso-fit-shape-to-text:t;">
            <w:txbxContent>
              <w:p w14:paraId="707BAA9A">
                <w:pPr>
                  <w:pStyle w:val="20"/>
                </w:pPr>
                <w:r>
                  <w:fldChar w:fldCharType="begin"/>
                </w:r>
                <w:r>
                  <w:instrText xml:space="preserve"> PAGE  \* MERGEFORMAT </w:instrText>
                </w:r>
                <w:r>
                  <w:fldChar w:fldCharType="separate"/>
                </w:r>
                <w:r>
                  <w:t>29</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2E98D">
    <w:pPr>
      <w:spacing w:line="176" w:lineRule="auto"/>
      <w:ind w:left="4787"/>
      <w:rPr>
        <w:rFonts w:ascii="Times New Roman" w:hAnsi="Times New Roman" w:eastAsia="Times New Roman"/>
        <w:sz w:val="18"/>
        <w:szCs w:val="18"/>
      </w:rPr>
    </w:pPr>
    <w:r>
      <w:rPr>
        <w:sz w:val="18"/>
      </w:rPr>
      <w:pict>
        <v:shape id="_x0000_s1029" o:spid="_x0000_s102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path/>
          <v:fill on="f" focussize="0,0"/>
          <v:stroke on="f" weight="0.5pt" joinstyle="miter"/>
          <v:imagedata o:title=""/>
          <o:lock v:ext="edit"/>
          <v:textbox inset="0mm,0mm,0mm,0mm" style="mso-fit-shape-to-text:t;">
            <w:txbxContent>
              <w:p w14:paraId="04C92D37">
                <w:pPr>
                  <w:pStyle w:val="20"/>
                </w:pPr>
                <w:r>
                  <w:fldChar w:fldCharType="begin"/>
                </w:r>
                <w:r>
                  <w:instrText xml:space="preserve"> PAGE  \* MERGEFORMAT </w:instrText>
                </w:r>
                <w:r>
                  <w:fldChar w:fldCharType="separate"/>
                </w:r>
                <w:r>
                  <w:t>113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EBAC6">
    <w:pPr>
      <w:pStyle w:val="20"/>
      <w:jc w:val="center"/>
    </w:pPr>
    <w:r>
      <w:pict>
        <v:shape id="_x0000_s1028" o:spid="_x0000_s1028"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path/>
          <v:fill on="f" focussize="0,0"/>
          <v:stroke on="f" weight="0.5pt" joinstyle="miter"/>
          <v:imagedata o:title=""/>
          <o:lock v:ext="edit"/>
          <v:textbox inset="0mm,0mm,0mm,0mm" style="mso-fit-shape-to-text:t;">
            <w:txbxContent>
              <w:p w14:paraId="52523FD9">
                <w:pPr>
                  <w:pStyle w:val="20"/>
                </w:pPr>
                <w:r>
                  <w:fldChar w:fldCharType="begin"/>
                </w:r>
                <w:r>
                  <w:instrText xml:space="preserve"> PAGE  \* MERGEFORMAT </w:instrText>
                </w:r>
                <w:r>
                  <w:fldChar w:fldCharType="separate"/>
                </w:r>
                <w:r>
                  <w:t>124</w:t>
                </w:r>
                <w:r>
                  <w:fldChar w:fldCharType="end"/>
                </w:r>
              </w:p>
            </w:txbxContent>
          </v:textbox>
        </v:shape>
      </w:pict>
    </w:r>
    <w:r>
      <w:pict>
        <v:shape id="文本框 2059" o:spid="_x0000_s1027" o:spt="202" type="#_x0000_t202" style="position:absolute;left:0pt;margin-top:0pt;height:15.8pt;width:12.85pt;mso-position-horizontal:center;mso-position-horizontal-relative:margin;z-index:251661312;mso-width-relative:page;mso-height-relative:page;" filled="f" stroked="f" coordsize="21600,21600" o:gfxdata="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DYA+m1AAAAAMBAAAPAAAAAAAAAAEAIAAAACIAAABkcnMvZG93bnJldi54bWxQSwECFAAU&#10;AAAACACHTuJAB0fgirwBAAB1AwAADgAAAAAAAAABACAAAAAjAQAAZHJzL2Uyb0RvYy54bWxQSwUG&#10;AAAAAAYABgBZAQAAUQUAAAAA&#10;">
          <v:path/>
          <v:fill on="f" focussize="0,0"/>
          <v:stroke on="f" joinstyle="miter"/>
          <v:imagedata o:title=""/>
          <o:lock v:ext="edit"/>
          <v:textbox inset="0mm,0mm,0mm,0mm">
            <w:txbxContent>
              <w:p w14:paraId="540A04E9">
                <w:pPr>
                  <w:pStyle w:val="20"/>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48967">
    <w:pPr>
      <w:pStyle w:val="2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64136">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5A6A0">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CD58">
    <w:pPr>
      <w:pStyle w:val="21"/>
      <w:pBdr>
        <w:bottom w:val="none" w:color="auto" w:sz="0" w:space="1"/>
      </w:pBdr>
    </w:pPr>
  </w:p>
  <w:p w14:paraId="029C3FD6">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69EBB"/>
    <w:multiLevelType w:val="singleLevel"/>
    <w:tmpl w:val="9EB69EBB"/>
    <w:lvl w:ilvl="0" w:tentative="0">
      <w:start w:val="1"/>
      <w:numFmt w:val="chineseCounting"/>
      <w:suff w:val="space"/>
      <w:lvlText w:val="第%1章"/>
      <w:lvlJc w:val="left"/>
      <w:rPr>
        <w:rFonts w:hint="eastAsia" w:cs="Times New Roman"/>
      </w:rPr>
    </w:lvl>
  </w:abstractNum>
  <w:abstractNum w:abstractNumId="1">
    <w:nsid w:val="BBBBD23B"/>
    <w:multiLevelType w:val="singleLevel"/>
    <w:tmpl w:val="BBBBD23B"/>
    <w:lvl w:ilvl="0" w:tentative="0">
      <w:start w:val="2"/>
      <w:numFmt w:val="chineseCounting"/>
      <w:lvlText w:val="第%1章"/>
      <w:lvlJc w:val="left"/>
      <w:rPr>
        <w:rFonts w:hint="eastAsia" w:cs="Times New Roman"/>
      </w:rPr>
    </w:lvl>
  </w:abstractNum>
  <w:abstractNum w:abstractNumId="2">
    <w:nsid w:val="C8879AEF"/>
    <w:multiLevelType w:val="multilevel"/>
    <w:tmpl w:val="C8879AEF"/>
    <w:lvl w:ilvl="0" w:tentative="0">
      <w:start w:val="1"/>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spacing w:val="-3"/>
        <w:w w:val="100"/>
        <w:sz w:val="21"/>
        <w:szCs w:val="21"/>
      </w:rPr>
    </w:lvl>
    <w:lvl w:ilvl="3" w:tentative="0">
      <w:start w:val="0"/>
      <w:numFmt w:val="bullet"/>
      <w:lvlText w:val="•"/>
      <w:lvlJc w:val="left"/>
      <w:pPr>
        <w:ind w:left="1340" w:hanging="632"/>
      </w:pPr>
      <w:rPr>
        <w:rFonts w:hint="default"/>
      </w:rPr>
    </w:lvl>
    <w:lvl w:ilvl="4" w:tentative="0">
      <w:start w:val="0"/>
      <w:numFmt w:val="bullet"/>
      <w:lvlText w:val="•"/>
      <w:lvlJc w:val="left"/>
      <w:pPr>
        <w:ind w:left="2600" w:hanging="632"/>
      </w:pPr>
      <w:rPr>
        <w:rFonts w:hint="default"/>
      </w:rPr>
    </w:lvl>
    <w:lvl w:ilvl="5" w:tentative="0">
      <w:start w:val="0"/>
      <w:numFmt w:val="bullet"/>
      <w:lvlText w:val="•"/>
      <w:lvlJc w:val="left"/>
      <w:pPr>
        <w:ind w:left="3860" w:hanging="632"/>
      </w:pPr>
      <w:rPr>
        <w:rFonts w:hint="default"/>
      </w:rPr>
    </w:lvl>
    <w:lvl w:ilvl="6" w:tentative="0">
      <w:start w:val="0"/>
      <w:numFmt w:val="bullet"/>
      <w:lvlText w:val="•"/>
      <w:lvlJc w:val="left"/>
      <w:pPr>
        <w:ind w:left="5120" w:hanging="632"/>
      </w:pPr>
      <w:rPr>
        <w:rFonts w:hint="default"/>
      </w:rPr>
    </w:lvl>
    <w:lvl w:ilvl="7" w:tentative="0">
      <w:start w:val="0"/>
      <w:numFmt w:val="bullet"/>
      <w:lvlText w:val="•"/>
      <w:lvlJc w:val="left"/>
      <w:pPr>
        <w:ind w:left="6380" w:hanging="632"/>
      </w:pPr>
      <w:rPr>
        <w:rFonts w:hint="default"/>
      </w:rPr>
    </w:lvl>
    <w:lvl w:ilvl="8" w:tentative="0">
      <w:start w:val="0"/>
      <w:numFmt w:val="bullet"/>
      <w:lvlText w:val="•"/>
      <w:lvlJc w:val="left"/>
      <w:pPr>
        <w:ind w:left="7640" w:hanging="632"/>
      </w:pPr>
      <w:rPr>
        <w:rFonts w:hint="default"/>
      </w:rPr>
    </w:lvl>
  </w:abstractNum>
  <w:abstractNum w:abstractNumId="3">
    <w:nsid w:val="D98966E8"/>
    <w:multiLevelType w:val="singleLevel"/>
    <w:tmpl w:val="D98966E8"/>
    <w:lvl w:ilvl="0" w:tentative="0">
      <w:start w:val="7"/>
      <w:numFmt w:val="chineseCounting"/>
      <w:suff w:val="nothing"/>
      <w:lvlText w:val="%1、"/>
      <w:lvlJc w:val="left"/>
      <w:rPr>
        <w:rFonts w:hint="eastAsia"/>
      </w:rPr>
    </w:lvl>
  </w:abstractNum>
  <w:abstractNum w:abstractNumId="4">
    <w:nsid w:val="F2AEAEA6"/>
    <w:multiLevelType w:val="singleLevel"/>
    <w:tmpl w:val="F2AEAEA6"/>
    <w:lvl w:ilvl="0" w:tentative="0">
      <w:start w:val="1"/>
      <w:numFmt w:val="decimal"/>
      <w:suff w:val="nothing"/>
      <w:lvlText w:val="（%1）"/>
      <w:lvlJc w:val="left"/>
      <w:rPr>
        <w:rFonts w:cs="Times New Roman"/>
      </w:rPr>
    </w:lvl>
  </w:abstractNum>
  <w:abstractNum w:abstractNumId="5">
    <w:nsid w:val="0052F3E9"/>
    <w:multiLevelType w:val="singleLevel"/>
    <w:tmpl w:val="0052F3E9"/>
    <w:lvl w:ilvl="0" w:tentative="0">
      <w:start w:val="1"/>
      <w:numFmt w:val="decimal"/>
      <w:lvlText w:val="（%1)"/>
      <w:lvlJc w:val="left"/>
      <w:pPr>
        <w:tabs>
          <w:tab w:val="left" w:pos="312"/>
        </w:tabs>
      </w:pPr>
      <w:rPr>
        <w:rFonts w:cs="Times New Roman"/>
      </w:rPr>
    </w:lvl>
  </w:abstractNum>
  <w:abstractNum w:abstractNumId="6">
    <w:nsid w:val="0E640482"/>
    <w:multiLevelType w:val="multilevel"/>
    <w:tmpl w:val="0E640482"/>
    <w:lvl w:ilvl="0" w:tentative="0">
      <w:start w:val="5"/>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spacing w:val="-1"/>
        <w:w w:val="100"/>
        <w:sz w:val="21"/>
        <w:szCs w:val="21"/>
      </w:rPr>
    </w:lvl>
    <w:lvl w:ilvl="3" w:tentative="0">
      <w:start w:val="0"/>
      <w:numFmt w:val="bullet"/>
      <w:lvlText w:val="•"/>
      <w:lvlJc w:val="left"/>
      <w:pPr>
        <w:ind w:left="3300" w:hanging="632"/>
      </w:pPr>
      <w:rPr>
        <w:rFonts w:hint="default"/>
      </w:rPr>
    </w:lvl>
    <w:lvl w:ilvl="4" w:tentative="0">
      <w:start w:val="0"/>
      <w:numFmt w:val="bullet"/>
      <w:lvlText w:val="•"/>
      <w:lvlJc w:val="left"/>
      <w:pPr>
        <w:ind w:left="4280" w:hanging="632"/>
      </w:pPr>
      <w:rPr>
        <w:rFonts w:hint="default"/>
      </w:rPr>
    </w:lvl>
    <w:lvl w:ilvl="5" w:tentative="0">
      <w:start w:val="0"/>
      <w:numFmt w:val="bullet"/>
      <w:lvlText w:val="•"/>
      <w:lvlJc w:val="left"/>
      <w:pPr>
        <w:ind w:left="5260" w:hanging="632"/>
      </w:pPr>
      <w:rPr>
        <w:rFonts w:hint="default"/>
      </w:rPr>
    </w:lvl>
    <w:lvl w:ilvl="6" w:tentative="0">
      <w:start w:val="0"/>
      <w:numFmt w:val="bullet"/>
      <w:lvlText w:val="•"/>
      <w:lvlJc w:val="left"/>
      <w:pPr>
        <w:ind w:left="6240" w:hanging="632"/>
      </w:pPr>
      <w:rPr>
        <w:rFonts w:hint="default"/>
      </w:rPr>
    </w:lvl>
    <w:lvl w:ilvl="7" w:tentative="0">
      <w:start w:val="0"/>
      <w:numFmt w:val="bullet"/>
      <w:lvlText w:val="•"/>
      <w:lvlJc w:val="left"/>
      <w:pPr>
        <w:ind w:left="7220" w:hanging="632"/>
      </w:pPr>
      <w:rPr>
        <w:rFonts w:hint="default"/>
      </w:rPr>
    </w:lvl>
    <w:lvl w:ilvl="8" w:tentative="0">
      <w:start w:val="0"/>
      <w:numFmt w:val="bullet"/>
      <w:lvlText w:val="•"/>
      <w:lvlJc w:val="left"/>
      <w:pPr>
        <w:ind w:left="8200" w:hanging="632"/>
      </w:pPr>
      <w:rPr>
        <w:rFonts w:hint="default"/>
      </w:rPr>
    </w:lvl>
  </w:abstractNum>
  <w:abstractNum w:abstractNumId="7">
    <w:nsid w:val="161E28A6"/>
    <w:multiLevelType w:val="multilevel"/>
    <w:tmpl w:val="161E28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470EC97"/>
    <w:multiLevelType w:val="multilevel"/>
    <w:tmpl w:val="2470EC97"/>
    <w:lvl w:ilvl="0" w:tentative="0">
      <w:start w:val="2"/>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3）"/>
      <w:lvlJc w:val="left"/>
      <w:pPr>
        <w:ind w:left="1227" w:hanging="529"/>
      </w:pPr>
      <w:rPr>
        <w:rFonts w:hint="default" w:ascii="宋体" w:hAnsi="宋体" w:eastAsia="宋体" w:cs="宋体"/>
        <w:spacing w:val="-3"/>
        <w:w w:val="100"/>
        <w:sz w:val="19"/>
        <w:szCs w:val="19"/>
      </w:rPr>
    </w:lvl>
    <w:lvl w:ilvl="3" w:tentative="0">
      <w:start w:val="0"/>
      <w:numFmt w:val="bullet"/>
      <w:lvlText w:val="•"/>
      <w:lvlJc w:val="left"/>
      <w:pPr>
        <w:ind w:left="3206" w:hanging="529"/>
      </w:pPr>
      <w:rPr>
        <w:rFonts w:hint="default"/>
      </w:rPr>
    </w:lvl>
    <w:lvl w:ilvl="4" w:tentative="0">
      <w:start w:val="0"/>
      <w:numFmt w:val="bullet"/>
      <w:lvlText w:val="•"/>
      <w:lvlJc w:val="left"/>
      <w:pPr>
        <w:ind w:left="4200" w:hanging="529"/>
      </w:pPr>
      <w:rPr>
        <w:rFonts w:hint="default"/>
      </w:rPr>
    </w:lvl>
    <w:lvl w:ilvl="5" w:tentative="0">
      <w:start w:val="0"/>
      <w:numFmt w:val="bullet"/>
      <w:lvlText w:val="•"/>
      <w:lvlJc w:val="left"/>
      <w:pPr>
        <w:ind w:left="5193" w:hanging="529"/>
      </w:pPr>
      <w:rPr>
        <w:rFonts w:hint="default"/>
      </w:rPr>
    </w:lvl>
    <w:lvl w:ilvl="6" w:tentative="0">
      <w:start w:val="0"/>
      <w:numFmt w:val="bullet"/>
      <w:lvlText w:val="•"/>
      <w:lvlJc w:val="left"/>
      <w:pPr>
        <w:ind w:left="6187" w:hanging="529"/>
      </w:pPr>
      <w:rPr>
        <w:rFonts w:hint="default"/>
      </w:rPr>
    </w:lvl>
    <w:lvl w:ilvl="7" w:tentative="0">
      <w:start w:val="0"/>
      <w:numFmt w:val="bullet"/>
      <w:lvlText w:val="•"/>
      <w:lvlJc w:val="left"/>
      <w:pPr>
        <w:ind w:left="7180" w:hanging="529"/>
      </w:pPr>
      <w:rPr>
        <w:rFonts w:hint="default"/>
      </w:rPr>
    </w:lvl>
    <w:lvl w:ilvl="8" w:tentative="0">
      <w:start w:val="0"/>
      <w:numFmt w:val="bullet"/>
      <w:lvlText w:val="•"/>
      <w:lvlJc w:val="left"/>
      <w:pPr>
        <w:ind w:left="8173" w:hanging="529"/>
      </w:pPr>
      <w:rPr>
        <w:rFonts w:hint="default"/>
      </w:rPr>
    </w:lvl>
  </w:abstractNum>
  <w:abstractNum w:abstractNumId="9">
    <w:nsid w:val="2DBF4664"/>
    <w:multiLevelType w:val="multilevel"/>
    <w:tmpl w:val="2DBF4664"/>
    <w:lvl w:ilvl="0" w:tentative="0">
      <w:start w:val="1"/>
      <w:numFmt w:val="decimal"/>
      <w:suff w:val="space"/>
      <w:lvlText w:val="%1"/>
      <w:lvlJc w:val="left"/>
      <w:pPr>
        <w:ind w:left="0" w:firstLine="0"/>
      </w:pPr>
      <w:rPr>
        <w:rFonts w:hint="default"/>
        <w:b/>
        <w:i w:val="0"/>
        <w:caps w:val="0"/>
        <w:strike w:val="0"/>
        <w:dstrike w:val="0"/>
        <w:vanish w:val="0"/>
        <w:color w:val="auto"/>
        <w:sz w:val="48"/>
        <w:u w:val="none"/>
        <w:vertAlign w:val="baseline"/>
        <w:lang w:val="en-US"/>
      </w:rPr>
    </w:lvl>
    <w:lvl w:ilvl="1" w:tentative="0">
      <w:start w:val="1"/>
      <w:numFmt w:val="decimal"/>
      <w:suff w:val="space"/>
      <w:lvlText w:val="%1.%2"/>
      <w:lvlJc w:val="left"/>
      <w:pPr>
        <w:ind w:left="0" w:firstLine="0"/>
      </w:pPr>
      <w:rPr>
        <w:rFonts w:hint="default"/>
        <w:b/>
        <w:i w:val="0"/>
        <w:caps w:val="0"/>
        <w:strike w:val="0"/>
        <w:dstrike w:val="0"/>
        <w:vanish w:val="0"/>
        <w:color w:val="000000"/>
        <w:sz w:val="36"/>
        <w:u w:val="none"/>
        <w:vertAlign w:val="baseline"/>
      </w:rPr>
    </w:lvl>
    <w:lvl w:ilvl="2" w:tentative="0">
      <w:start w:val="1"/>
      <w:numFmt w:val="decimal"/>
      <w:pStyle w:val="12"/>
      <w:suff w:val="space"/>
      <w:lvlText w:val="%1.%2.%3"/>
      <w:lvlJc w:val="left"/>
      <w:pPr>
        <w:ind w:left="0" w:firstLine="0"/>
      </w:pPr>
      <w:rPr>
        <w:rFonts w:hint="default"/>
        <w:b/>
        <w:i w:val="0"/>
        <w:caps w:val="0"/>
        <w:strike w:val="0"/>
        <w:dstrike w:val="0"/>
        <w:vanish w:val="0"/>
        <w:color w:val="auto"/>
        <w:sz w:val="30"/>
        <w:u w:val="none"/>
        <w:vertAlign w:val="baseline"/>
      </w:rPr>
    </w:lvl>
    <w:lvl w:ilvl="3" w:tentative="0">
      <w:start w:val="1"/>
      <w:numFmt w:val="decimal"/>
      <w:suff w:val="space"/>
      <w:lvlText w:val="%1.%2.%3.%4"/>
      <w:lvlJc w:val="left"/>
      <w:pPr>
        <w:ind w:left="0" w:firstLine="0"/>
      </w:pPr>
      <w:rPr>
        <w:rFonts w:hint="default"/>
        <w:b/>
        <w:i w:val="0"/>
        <w:caps w:val="0"/>
        <w:strike w:val="0"/>
        <w:dstrike w:val="0"/>
        <w:vanish w:val="0"/>
        <w:color w:val="auto"/>
        <w:sz w:val="28"/>
        <w:szCs w:val="28"/>
        <w:u w:val="none"/>
        <w:vertAlign w:val="baseline"/>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default"/>
        <w:b/>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37835593"/>
    <w:multiLevelType w:val="singleLevel"/>
    <w:tmpl w:val="37835593"/>
    <w:lvl w:ilvl="0" w:tentative="0">
      <w:start w:val="1"/>
      <w:numFmt w:val="decimal"/>
      <w:suff w:val="nothing"/>
      <w:lvlText w:val="%1、"/>
      <w:lvlJc w:val="left"/>
    </w:lvl>
  </w:abstractNum>
  <w:abstractNum w:abstractNumId="11">
    <w:nsid w:val="46A08BB8"/>
    <w:multiLevelType w:val="multilevel"/>
    <w:tmpl w:val="46A08BB8"/>
    <w:lvl w:ilvl="0" w:tentative="0">
      <w:start w:val="6"/>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802" w:hanging="632"/>
      </w:pPr>
      <w:rPr>
        <w:rFonts w:hint="default"/>
      </w:rPr>
    </w:lvl>
    <w:lvl w:ilvl="4" w:tentative="0">
      <w:start w:val="0"/>
      <w:numFmt w:val="bullet"/>
      <w:lvlText w:val="•"/>
      <w:lvlJc w:val="left"/>
      <w:pPr>
        <w:ind w:left="3853" w:hanging="632"/>
      </w:pPr>
      <w:rPr>
        <w:rFonts w:hint="default"/>
      </w:rPr>
    </w:lvl>
    <w:lvl w:ilvl="5" w:tentative="0">
      <w:start w:val="0"/>
      <w:numFmt w:val="bullet"/>
      <w:lvlText w:val="•"/>
      <w:lvlJc w:val="left"/>
      <w:pPr>
        <w:ind w:left="4904" w:hanging="632"/>
      </w:pPr>
      <w:rPr>
        <w:rFonts w:hint="default"/>
      </w:rPr>
    </w:lvl>
    <w:lvl w:ilvl="6" w:tentative="0">
      <w:start w:val="0"/>
      <w:numFmt w:val="bullet"/>
      <w:lvlText w:val="•"/>
      <w:lvlJc w:val="left"/>
      <w:pPr>
        <w:ind w:left="5956" w:hanging="632"/>
      </w:pPr>
      <w:rPr>
        <w:rFonts w:hint="default"/>
      </w:rPr>
    </w:lvl>
    <w:lvl w:ilvl="7" w:tentative="0">
      <w:start w:val="0"/>
      <w:numFmt w:val="bullet"/>
      <w:lvlText w:val="•"/>
      <w:lvlJc w:val="left"/>
      <w:pPr>
        <w:ind w:left="7007" w:hanging="632"/>
      </w:pPr>
      <w:rPr>
        <w:rFonts w:hint="default"/>
      </w:rPr>
    </w:lvl>
    <w:lvl w:ilvl="8" w:tentative="0">
      <w:start w:val="0"/>
      <w:numFmt w:val="bullet"/>
      <w:lvlText w:val="•"/>
      <w:lvlJc w:val="left"/>
      <w:pPr>
        <w:ind w:left="8058" w:hanging="632"/>
      </w:pPr>
      <w:rPr>
        <w:rFonts w:hint="default"/>
      </w:rPr>
    </w:lvl>
  </w:abstractNum>
  <w:abstractNum w:abstractNumId="12">
    <w:nsid w:val="4DDE8D22"/>
    <w:multiLevelType w:val="singleLevel"/>
    <w:tmpl w:val="4DDE8D22"/>
    <w:lvl w:ilvl="0" w:tentative="0">
      <w:start w:val="1"/>
      <w:numFmt w:val="decimal"/>
      <w:suff w:val="nothing"/>
      <w:lvlText w:val="%1．"/>
      <w:lvlJc w:val="left"/>
    </w:lvl>
  </w:abstractNum>
  <w:abstractNum w:abstractNumId="13">
    <w:nsid w:val="60382F6E"/>
    <w:multiLevelType w:val="multilevel"/>
    <w:tmpl w:val="60382F6E"/>
    <w:lvl w:ilvl="0" w:tentative="0">
      <w:start w:val="4"/>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abstractNum w:abstractNumId="14">
    <w:nsid w:val="7C246926"/>
    <w:multiLevelType w:val="multilevel"/>
    <w:tmpl w:val="7C246926"/>
    <w:lvl w:ilvl="0" w:tentative="0">
      <w:start w:val="7"/>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num w:numId="1">
    <w:abstractNumId w:val="9"/>
  </w:num>
  <w:num w:numId="2">
    <w:abstractNumId w:val="0"/>
  </w:num>
  <w:num w:numId="3">
    <w:abstractNumId w:val="1"/>
  </w:num>
  <w:num w:numId="4">
    <w:abstractNumId w:val="7"/>
  </w:num>
  <w:num w:numId="5">
    <w:abstractNumId w:val="2"/>
  </w:num>
  <w:num w:numId="6">
    <w:abstractNumId w:val="8"/>
  </w:num>
  <w:num w:numId="7">
    <w:abstractNumId w:val="13"/>
  </w:num>
  <w:num w:numId="8">
    <w:abstractNumId w:val="6"/>
  </w:num>
  <w:num w:numId="9">
    <w:abstractNumId w:val="11"/>
  </w:num>
  <w:num w:numId="10">
    <w:abstractNumId w:val="14"/>
  </w:num>
  <w:num w:numId="11">
    <w:abstractNumId w:val="5"/>
  </w:num>
  <w:num w:numId="12">
    <w:abstractNumId w:val="4"/>
  </w:num>
  <w:num w:numId="13">
    <w:abstractNumId w:val="10"/>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YjBmYWE1MTQwYTFhMTEyMDIzNDZmNmYzNjdkMTgxN2EifQ=="/>
  </w:docVars>
  <w:rsids>
    <w:rsidRoot w:val="00D206E0"/>
    <w:rsid w:val="000409BF"/>
    <w:rsid w:val="00046E16"/>
    <w:rsid w:val="00273107"/>
    <w:rsid w:val="002F0EE8"/>
    <w:rsid w:val="002F47CA"/>
    <w:rsid w:val="00347839"/>
    <w:rsid w:val="003550AC"/>
    <w:rsid w:val="00356F71"/>
    <w:rsid w:val="0044186F"/>
    <w:rsid w:val="004E1B37"/>
    <w:rsid w:val="004E66A1"/>
    <w:rsid w:val="00602264"/>
    <w:rsid w:val="00737007"/>
    <w:rsid w:val="00792A9A"/>
    <w:rsid w:val="007C59DB"/>
    <w:rsid w:val="00850C35"/>
    <w:rsid w:val="008C4B48"/>
    <w:rsid w:val="008D5A5C"/>
    <w:rsid w:val="008F28DA"/>
    <w:rsid w:val="00A96010"/>
    <w:rsid w:val="00B65452"/>
    <w:rsid w:val="00B70CAE"/>
    <w:rsid w:val="00B76409"/>
    <w:rsid w:val="00BC62C3"/>
    <w:rsid w:val="00C65EA4"/>
    <w:rsid w:val="00CB14D7"/>
    <w:rsid w:val="00CE35F3"/>
    <w:rsid w:val="00D206E0"/>
    <w:rsid w:val="00D809D1"/>
    <w:rsid w:val="00DC4C15"/>
    <w:rsid w:val="00EA145C"/>
    <w:rsid w:val="00EB382E"/>
    <w:rsid w:val="00F81E6F"/>
    <w:rsid w:val="00FC3DCB"/>
    <w:rsid w:val="01001B5E"/>
    <w:rsid w:val="01030CDA"/>
    <w:rsid w:val="011C5E2D"/>
    <w:rsid w:val="012C0181"/>
    <w:rsid w:val="01916C5A"/>
    <w:rsid w:val="0197717F"/>
    <w:rsid w:val="019B5DA2"/>
    <w:rsid w:val="01AA4CF6"/>
    <w:rsid w:val="02034A03"/>
    <w:rsid w:val="02072A78"/>
    <w:rsid w:val="03023CDF"/>
    <w:rsid w:val="030D69DA"/>
    <w:rsid w:val="03150DFB"/>
    <w:rsid w:val="039540A8"/>
    <w:rsid w:val="04590968"/>
    <w:rsid w:val="046F248F"/>
    <w:rsid w:val="04701778"/>
    <w:rsid w:val="04D54EAF"/>
    <w:rsid w:val="04E23328"/>
    <w:rsid w:val="055165CD"/>
    <w:rsid w:val="055C30DB"/>
    <w:rsid w:val="05776166"/>
    <w:rsid w:val="058F6873"/>
    <w:rsid w:val="05A00AB1"/>
    <w:rsid w:val="05AB7BBE"/>
    <w:rsid w:val="05DE7F94"/>
    <w:rsid w:val="05E03166"/>
    <w:rsid w:val="060D24AA"/>
    <w:rsid w:val="06A672A5"/>
    <w:rsid w:val="06F91EC4"/>
    <w:rsid w:val="06FC2DC7"/>
    <w:rsid w:val="070C28DE"/>
    <w:rsid w:val="071A39EC"/>
    <w:rsid w:val="073059D8"/>
    <w:rsid w:val="07395993"/>
    <w:rsid w:val="07585B24"/>
    <w:rsid w:val="077B00A8"/>
    <w:rsid w:val="07A56FBB"/>
    <w:rsid w:val="07D14B00"/>
    <w:rsid w:val="07F13FAE"/>
    <w:rsid w:val="08273AC0"/>
    <w:rsid w:val="082A539E"/>
    <w:rsid w:val="084F33CB"/>
    <w:rsid w:val="086230FE"/>
    <w:rsid w:val="08713341"/>
    <w:rsid w:val="08A82006"/>
    <w:rsid w:val="08C311B8"/>
    <w:rsid w:val="0923288D"/>
    <w:rsid w:val="09254BA5"/>
    <w:rsid w:val="094620D8"/>
    <w:rsid w:val="09842C00"/>
    <w:rsid w:val="09A6701A"/>
    <w:rsid w:val="09AD2157"/>
    <w:rsid w:val="09C83435"/>
    <w:rsid w:val="09C86F91"/>
    <w:rsid w:val="09E40B62"/>
    <w:rsid w:val="0A540FE5"/>
    <w:rsid w:val="0A701297"/>
    <w:rsid w:val="0A7D5FCD"/>
    <w:rsid w:val="0B726646"/>
    <w:rsid w:val="0B8B7F3B"/>
    <w:rsid w:val="0BA13F3D"/>
    <w:rsid w:val="0BE702F0"/>
    <w:rsid w:val="0BFE4EEC"/>
    <w:rsid w:val="0C0824E9"/>
    <w:rsid w:val="0C3628D7"/>
    <w:rsid w:val="0C371869"/>
    <w:rsid w:val="0C7C54FE"/>
    <w:rsid w:val="0CE150F1"/>
    <w:rsid w:val="0CE71E24"/>
    <w:rsid w:val="0CFA5655"/>
    <w:rsid w:val="0D062877"/>
    <w:rsid w:val="0D1150F2"/>
    <w:rsid w:val="0D19311B"/>
    <w:rsid w:val="0D520831"/>
    <w:rsid w:val="0D5D5C42"/>
    <w:rsid w:val="0D6C40D7"/>
    <w:rsid w:val="0D9C7D2E"/>
    <w:rsid w:val="0D9E2395"/>
    <w:rsid w:val="0DA73361"/>
    <w:rsid w:val="0DA80F66"/>
    <w:rsid w:val="0DF742E8"/>
    <w:rsid w:val="0E1E3623"/>
    <w:rsid w:val="0E323572"/>
    <w:rsid w:val="0E39045D"/>
    <w:rsid w:val="0E3C65A4"/>
    <w:rsid w:val="0E5D3783"/>
    <w:rsid w:val="0E724F4F"/>
    <w:rsid w:val="0EF5379F"/>
    <w:rsid w:val="0F1E211C"/>
    <w:rsid w:val="0F3E06C6"/>
    <w:rsid w:val="0F482F54"/>
    <w:rsid w:val="0F503CB0"/>
    <w:rsid w:val="0FDE3B15"/>
    <w:rsid w:val="1001144E"/>
    <w:rsid w:val="101F7147"/>
    <w:rsid w:val="105422B1"/>
    <w:rsid w:val="106E4C0F"/>
    <w:rsid w:val="10795489"/>
    <w:rsid w:val="1092654A"/>
    <w:rsid w:val="10A83678"/>
    <w:rsid w:val="10B353ED"/>
    <w:rsid w:val="10B65D95"/>
    <w:rsid w:val="10BE2E9B"/>
    <w:rsid w:val="113D7683"/>
    <w:rsid w:val="1167594A"/>
    <w:rsid w:val="118F79C1"/>
    <w:rsid w:val="124B075F"/>
    <w:rsid w:val="128679E9"/>
    <w:rsid w:val="12E36BE9"/>
    <w:rsid w:val="133E565C"/>
    <w:rsid w:val="13491142"/>
    <w:rsid w:val="135D4BEE"/>
    <w:rsid w:val="13A224E0"/>
    <w:rsid w:val="13BD038F"/>
    <w:rsid w:val="13E15355"/>
    <w:rsid w:val="146B2919"/>
    <w:rsid w:val="14A576A4"/>
    <w:rsid w:val="14D44367"/>
    <w:rsid w:val="14E6501B"/>
    <w:rsid w:val="14F32DF4"/>
    <w:rsid w:val="14FE5F5C"/>
    <w:rsid w:val="15107C08"/>
    <w:rsid w:val="151E65FF"/>
    <w:rsid w:val="15602773"/>
    <w:rsid w:val="159E5049"/>
    <w:rsid w:val="15FC76A4"/>
    <w:rsid w:val="163F4A7E"/>
    <w:rsid w:val="165C73DE"/>
    <w:rsid w:val="166242C9"/>
    <w:rsid w:val="16C4667A"/>
    <w:rsid w:val="16CA07EC"/>
    <w:rsid w:val="16EB406B"/>
    <w:rsid w:val="18194E5B"/>
    <w:rsid w:val="18357EE7"/>
    <w:rsid w:val="1850222C"/>
    <w:rsid w:val="186E46F2"/>
    <w:rsid w:val="18A24E51"/>
    <w:rsid w:val="18A63D95"/>
    <w:rsid w:val="18C66D91"/>
    <w:rsid w:val="18E4181A"/>
    <w:rsid w:val="1913479D"/>
    <w:rsid w:val="192E5E0E"/>
    <w:rsid w:val="1973301A"/>
    <w:rsid w:val="19F20952"/>
    <w:rsid w:val="1A0E4CA6"/>
    <w:rsid w:val="1A3B3E93"/>
    <w:rsid w:val="1A5F56EF"/>
    <w:rsid w:val="1A6E2DF7"/>
    <w:rsid w:val="1AA90718"/>
    <w:rsid w:val="1AE343DA"/>
    <w:rsid w:val="1B216501"/>
    <w:rsid w:val="1B593EEC"/>
    <w:rsid w:val="1B6A60FA"/>
    <w:rsid w:val="1B723200"/>
    <w:rsid w:val="1B7367BA"/>
    <w:rsid w:val="1B8D1DE8"/>
    <w:rsid w:val="1C0E2F29"/>
    <w:rsid w:val="1C0F4155"/>
    <w:rsid w:val="1CAC5FEC"/>
    <w:rsid w:val="1D1C3424"/>
    <w:rsid w:val="1D8F1DC9"/>
    <w:rsid w:val="1DDF58E5"/>
    <w:rsid w:val="1E150DE3"/>
    <w:rsid w:val="1E3173A3"/>
    <w:rsid w:val="1E340C41"/>
    <w:rsid w:val="1E4E5373"/>
    <w:rsid w:val="1E552C11"/>
    <w:rsid w:val="1E796654"/>
    <w:rsid w:val="1E9507DB"/>
    <w:rsid w:val="1EB643FA"/>
    <w:rsid w:val="1EFC58A7"/>
    <w:rsid w:val="1F1465BF"/>
    <w:rsid w:val="1F1F71FB"/>
    <w:rsid w:val="1F5448F2"/>
    <w:rsid w:val="1F6376F3"/>
    <w:rsid w:val="1FE15BBD"/>
    <w:rsid w:val="1FE305CE"/>
    <w:rsid w:val="1FE67D19"/>
    <w:rsid w:val="1FF42436"/>
    <w:rsid w:val="20421A6C"/>
    <w:rsid w:val="20786659"/>
    <w:rsid w:val="20895274"/>
    <w:rsid w:val="20BE47F2"/>
    <w:rsid w:val="20D364EF"/>
    <w:rsid w:val="20E47967"/>
    <w:rsid w:val="212E3725"/>
    <w:rsid w:val="21C97F2F"/>
    <w:rsid w:val="224D22D1"/>
    <w:rsid w:val="229E0014"/>
    <w:rsid w:val="22E22A19"/>
    <w:rsid w:val="230F7587"/>
    <w:rsid w:val="231A0405"/>
    <w:rsid w:val="2342491C"/>
    <w:rsid w:val="23487267"/>
    <w:rsid w:val="23A61C99"/>
    <w:rsid w:val="23A92899"/>
    <w:rsid w:val="23E136EE"/>
    <w:rsid w:val="23F8626D"/>
    <w:rsid w:val="24165E36"/>
    <w:rsid w:val="241A569F"/>
    <w:rsid w:val="24202B07"/>
    <w:rsid w:val="24277076"/>
    <w:rsid w:val="243E0148"/>
    <w:rsid w:val="248536CD"/>
    <w:rsid w:val="248C02E8"/>
    <w:rsid w:val="24916EC2"/>
    <w:rsid w:val="24925490"/>
    <w:rsid w:val="249C54BD"/>
    <w:rsid w:val="24D82326"/>
    <w:rsid w:val="24DB1E16"/>
    <w:rsid w:val="25130C45"/>
    <w:rsid w:val="258620D5"/>
    <w:rsid w:val="266876DA"/>
    <w:rsid w:val="269F64C8"/>
    <w:rsid w:val="27037402"/>
    <w:rsid w:val="271E48AA"/>
    <w:rsid w:val="27AE55C0"/>
    <w:rsid w:val="27AF3890"/>
    <w:rsid w:val="27EC29AB"/>
    <w:rsid w:val="2812143D"/>
    <w:rsid w:val="28795BCE"/>
    <w:rsid w:val="28AD3ACA"/>
    <w:rsid w:val="29155766"/>
    <w:rsid w:val="29342E64"/>
    <w:rsid w:val="29475CCC"/>
    <w:rsid w:val="297B3BC8"/>
    <w:rsid w:val="29C015DB"/>
    <w:rsid w:val="29F15C38"/>
    <w:rsid w:val="2A063491"/>
    <w:rsid w:val="2A414FB9"/>
    <w:rsid w:val="2A495A74"/>
    <w:rsid w:val="2A720B27"/>
    <w:rsid w:val="2AAF386A"/>
    <w:rsid w:val="2AF85B42"/>
    <w:rsid w:val="2AFF5855"/>
    <w:rsid w:val="2B147E30"/>
    <w:rsid w:val="2B7D7783"/>
    <w:rsid w:val="2B807273"/>
    <w:rsid w:val="2B8212EE"/>
    <w:rsid w:val="2BBF0C1C"/>
    <w:rsid w:val="2BE75544"/>
    <w:rsid w:val="2C3F712F"/>
    <w:rsid w:val="2C5D75B5"/>
    <w:rsid w:val="2C9F349D"/>
    <w:rsid w:val="2CE20480"/>
    <w:rsid w:val="2D012636"/>
    <w:rsid w:val="2D093744"/>
    <w:rsid w:val="2D2A15D7"/>
    <w:rsid w:val="2D6D1F9A"/>
    <w:rsid w:val="2D6F134E"/>
    <w:rsid w:val="2DB11966"/>
    <w:rsid w:val="2DB17BB8"/>
    <w:rsid w:val="2DE35D21"/>
    <w:rsid w:val="2DEF06E0"/>
    <w:rsid w:val="2E1626D1"/>
    <w:rsid w:val="2E6C3ADF"/>
    <w:rsid w:val="2EEB534C"/>
    <w:rsid w:val="2EFC4C56"/>
    <w:rsid w:val="2F1E7104"/>
    <w:rsid w:val="2FCC3360"/>
    <w:rsid w:val="2FE654EF"/>
    <w:rsid w:val="2FFE3624"/>
    <w:rsid w:val="3015310A"/>
    <w:rsid w:val="3017590C"/>
    <w:rsid w:val="305B3E0B"/>
    <w:rsid w:val="30954711"/>
    <w:rsid w:val="30A74126"/>
    <w:rsid w:val="30BA3C99"/>
    <w:rsid w:val="3138414C"/>
    <w:rsid w:val="313B2EEB"/>
    <w:rsid w:val="313E4C21"/>
    <w:rsid w:val="314A5C13"/>
    <w:rsid w:val="317A4570"/>
    <w:rsid w:val="31E57E0B"/>
    <w:rsid w:val="31FA74A5"/>
    <w:rsid w:val="320039D5"/>
    <w:rsid w:val="326C67A3"/>
    <w:rsid w:val="32790947"/>
    <w:rsid w:val="327E12E9"/>
    <w:rsid w:val="328E04C8"/>
    <w:rsid w:val="335C57D6"/>
    <w:rsid w:val="338D69D1"/>
    <w:rsid w:val="33E54F7B"/>
    <w:rsid w:val="34AF6227"/>
    <w:rsid w:val="34CF7804"/>
    <w:rsid w:val="34F8653E"/>
    <w:rsid w:val="35156C7E"/>
    <w:rsid w:val="352E1AEE"/>
    <w:rsid w:val="35870510"/>
    <w:rsid w:val="358D4BDA"/>
    <w:rsid w:val="35B2271F"/>
    <w:rsid w:val="363C16DB"/>
    <w:rsid w:val="367E2104"/>
    <w:rsid w:val="368C4D1E"/>
    <w:rsid w:val="36A26508"/>
    <w:rsid w:val="36AD39F9"/>
    <w:rsid w:val="36DD2902"/>
    <w:rsid w:val="36E50B7C"/>
    <w:rsid w:val="37225683"/>
    <w:rsid w:val="3776777C"/>
    <w:rsid w:val="37B13C85"/>
    <w:rsid w:val="37C93D50"/>
    <w:rsid w:val="37EB4955"/>
    <w:rsid w:val="381274A5"/>
    <w:rsid w:val="38D00A02"/>
    <w:rsid w:val="38F4784B"/>
    <w:rsid w:val="3914052D"/>
    <w:rsid w:val="392204A6"/>
    <w:rsid w:val="39E210F9"/>
    <w:rsid w:val="3A4E58A1"/>
    <w:rsid w:val="3A8D5509"/>
    <w:rsid w:val="3A947F78"/>
    <w:rsid w:val="3AB05274"/>
    <w:rsid w:val="3B351E28"/>
    <w:rsid w:val="3B800BCA"/>
    <w:rsid w:val="3B92770F"/>
    <w:rsid w:val="3BA85222"/>
    <w:rsid w:val="3BB371F1"/>
    <w:rsid w:val="3BB60878"/>
    <w:rsid w:val="3BB8636F"/>
    <w:rsid w:val="3BD83B26"/>
    <w:rsid w:val="3C0B0DDB"/>
    <w:rsid w:val="3C0D2AB9"/>
    <w:rsid w:val="3C7324DC"/>
    <w:rsid w:val="3C887535"/>
    <w:rsid w:val="3C8B1BA9"/>
    <w:rsid w:val="3C9012E0"/>
    <w:rsid w:val="3CA1529C"/>
    <w:rsid w:val="3CE358B4"/>
    <w:rsid w:val="3CF33D49"/>
    <w:rsid w:val="3D5918F7"/>
    <w:rsid w:val="3D96769B"/>
    <w:rsid w:val="3DE2791A"/>
    <w:rsid w:val="3E0F33EC"/>
    <w:rsid w:val="3E3D60E3"/>
    <w:rsid w:val="3E492211"/>
    <w:rsid w:val="3E582018"/>
    <w:rsid w:val="3E5977CE"/>
    <w:rsid w:val="3E771239"/>
    <w:rsid w:val="3E772758"/>
    <w:rsid w:val="3E9A0C3B"/>
    <w:rsid w:val="3EC577A2"/>
    <w:rsid w:val="3EDE6333"/>
    <w:rsid w:val="3EE014B2"/>
    <w:rsid w:val="3EED2A1A"/>
    <w:rsid w:val="3F482E9A"/>
    <w:rsid w:val="3F533A90"/>
    <w:rsid w:val="3F64182E"/>
    <w:rsid w:val="3F704DCE"/>
    <w:rsid w:val="3FB83028"/>
    <w:rsid w:val="3FFD0A3B"/>
    <w:rsid w:val="4000431C"/>
    <w:rsid w:val="400819A7"/>
    <w:rsid w:val="401A037E"/>
    <w:rsid w:val="4043214E"/>
    <w:rsid w:val="405A2302"/>
    <w:rsid w:val="40775A02"/>
    <w:rsid w:val="40A435AC"/>
    <w:rsid w:val="40D033F0"/>
    <w:rsid w:val="40FE2CBD"/>
    <w:rsid w:val="410D73A4"/>
    <w:rsid w:val="412F731A"/>
    <w:rsid w:val="41D46B10"/>
    <w:rsid w:val="42204EB5"/>
    <w:rsid w:val="42221C69"/>
    <w:rsid w:val="42426BD9"/>
    <w:rsid w:val="42E77E55"/>
    <w:rsid w:val="42EF4FB3"/>
    <w:rsid w:val="43370708"/>
    <w:rsid w:val="433C6CE6"/>
    <w:rsid w:val="438374A9"/>
    <w:rsid w:val="43954569"/>
    <w:rsid w:val="43F87E97"/>
    <w:rsid w:val="44354C47"/>
    <w:rsid w:val="451324AD"/>
    <w:rsid w:val="45322F35"/>
    <w:rsid w:val="45442C68"/>
    <w:rsid w:val="4555772A"/>
    <w:rsid w:val="45935D6C"/>
    <w:rsid w:val="459B4F7E"/>
    <w:rsid w:val="45A04342"/>
    <w:rsid w:val="45A763F3"/>
    <w:rsid w:val="45FA2938"/>
    <w:rsid w:val="46113492"/>
    <w:rsid w:val="46496788"/>
    <w:rsid w:val="46497CCA"/>
    <w:rsid w:val="46916381"/>
    <w:rsid w:val="47523D62"/>
    <w:rsid w:val="476C2789"/>
    <w:rsid w:val="476F1F85"/>
    <w:rsid w:val="479F6FAB"/>
    <w:rsid w:val="47F170D7"/>
    <w:rsid w:val="4832149E"/>
    <w:rsid w:val="48394575"/>
    <w:rsid w:val="48801DA0"/>
    <w:rsid w:val="48973C87"/>
    <w:rsid w:val="489B34E7"/>
    <w:rsid w:val="48A37F64"/>
    <w:rsid w:val="48E02235"/>
    <w:rsid w:val="498B5309"/>
    <w:rsid w:val="49B46A1E"/>
    <w:rsid w:val="49BC54C3"/>
    <w:rsid w:val="49CA4084"/>
    <w:rsid w:val="49D96075"/>
    <w:rsid w:val="4A3B2199"/>
    <w:rsid w:val="4A6A4F1F"/>
    <w:rsid w:val="4A8554C1"/>
    <w:rsid w:val="4B26353C"/>
    <w:rsid w:val="4B6978CC"/>
    <w:rsid w:val="4B8D7117"/>
    <w:rsid w:val="4B8F7333"/>
    <w:rsid w:val="4BAE567A"/>
    <w:rsid w:val="4BCD7E5B"/>
    <w:rsid w:val="4C5C2F8D"/>
    <w:rsid w:val="4C6D20D1"/>
    <w:rsid w:val="4C863FF4"/>
    <w:rsid w:val="4C8A7AFA"/>
    <w:rsid w:val="4C8D6D3F"/>
    <w:rsid w:val="4CA26436"/>
    <w:rsid w:val="4CA42BA5"/>
    <w:rsid w:val="4CD001EF"/>
    <w:rsid w:val="4CE2336A"/>
    <w:rsid w:val="4D2056C1"/>
    <w:rsid w:val="4D6D203C"/>
    <w:rsid w:val="4D8D78A2"/>
    <w:rsid w:val="4DFF1E22"/>
    <w:rsid w:val="4DFF6B72"/>
    <w:rsid w:val="4E057A55"/>
    <w:rsid w:val="4E2A50F1"/>
    <w:rsid w:val="4E467A51"/>
    <w:rsid w:val="4E5403C0"/>
    <w:rsid w:val="4E8011B5"/>
    <w:rsid w:val="4EA33D79"/>
    <w:rsid w:val="4EE2164F"/>
    <w:rsid w:val="4F244236"/>
    <w:rsid w:val="4F3C34B4"/>
    <w:rsid w:val="4F9F566B"/>
    <w:rsid w:val="4FB37368"/>
    <w:rsid w:val="4FFA6D45"/>
    <w:rsid w:val="50153B7F"/>
    <w:rsid w:val="502D711A"/>
    <w:rsid w:val="50936F77"/>
    <w:rsid w:val="50C050D6"/>
    <w:rsid w:val="50E83EC0"/>
    <w:rsid w:val="511B0DCD"/>
    <w:rsid w:val="51380B46"/>
    <w:rsid w:val="513E7A08"/>
    <w:rsid w:val="518B61F8"/>
    <w:rsid w:val="519B4171"/>
    <w:rsid w:val="51B0293E"/>
    <w:rsid w:val="51B7313F"/>
    <w:rsid w:val="51D52676"/>
    <w:rsid w:val="51F7178E"/>
    <w:rsid w:val="51FC1DAC"/>
    <w:rsid w:val="52344790"/>
    <w:rsid w:val="527821A3"/>
    <w:rsid w:val="528B1DBA"/>
    <w:rsid w:val="529169C4"/>
    <w:rsid w:val="52B168FD"/>
    <w:rsid w:val="52D443C4"/>
    <w:rsid w:val="52F05610"/>
    <w:rsid w:val="534F1700"/>
    <w:rsid w:val="53DB365B"/>
    <w:rsid w:val="540A3AC0"/>
    <w:rsid w:val="54332825"/>
    <w:rsid w:val="547846DC"/>
    <w:rsid w:val="547A0454"/>
    <w:rsid w:val="547C5F7A"/>
    <w:rsid w:val="547E1787"/>
    <w:rsid w:val="548B4B0A"/>
    <w:rsid w:val="5495528E"/>
    <w:rsid w:val="54CF254E"/>
    <w:rsid w:val="54D20290"/>
    <w:rsid w:val="54FF7234"/>
    <w:rsid w:val="557C2539"/>
    <w:rsid w:val="55997EDC"/>
    <w:rsid w:val="55A57753"/>
    <w:rsid w:val="55FA7A9F"/>
    <w:rsid w:val="56055663"/>
    <w:rsid w:val="56102E1E"/>
    <w:rsid w:val="561B7A15"/>
    <w:rsid w:val="561D19DF"/>
    <w:rsid w:val="567535C9"/>
    <w:rsid w:val="56B55774"/>
    <w:rsid w:val="56BE5ABA"/>
    <w:rsid w:val="56C24C57"/>
    <w:rsid w:val="571A1A7B"/>
    <w:rsid w:val="576C168E"/>
    <w:rsid w:val="57FB28B2"/>
    <w:rsid w:val="58255412"/>
    <w:rsid w:val="582E0A04"/>
    <w:rsid w:val="584E16CC"/>
    <w:rsid w:val="599975CF"/>
    <w:rsid w:val="59A85A64"/>
    <w:rsid w:val="59AA7854"/>
    <w:rsid w:val="59BE107D"/>
    <w:rsid w:val="59C4289D"/>
    <w:rsid w:val="5A1E129F"/>
    <w:rsid w:val="5A564934"/>
    <w:rsid w:val="5A792567"/>
    <w:rsid w:val="5A7D052E"/>
    <w:rsid w:val="5AC42429"/>
    <w:rsid w:val="5AE87C15"/>
    <w:rsid w:val="5B0B2794"/>
    <w:rsid w:val="5B2353A2"/>
    <w:rsid w:val="5B703ADF"/>
    <w:rsid w:val="5B9D02B5"/>
    <w:rsid w:val="5BA652E6"/>
    <w:rsid w:val="5BAC00FE"/>
    <w:rsid w:val="5C1653C5"/>
    <w:rsid w:val="5C8956D8"/>
    <w:rsid w:val="5CA00D96"/>
    <w:rsid w:val="5CD32DF8"/>
    <w:rsid w:val="5CD84304"/>
    <w:rsid w:val="5CE9261B"/>
    <w:rsid w:val="5D220201"/>
    <w:rsid w:val="5D4B58B4"/>
    <w:rsid w:val="5D9234AC"/>
    <w:rsid w:val="5D9C143B"/>
    <w:rsid w:val="5DD92690"/>
    <w:rsid w:val="5E2356B9"/>
    <w:rsid w:val="5E327165"/>
    <w:rsid w:val="5E333473"/>
    <w:rsid w:val="5E561A97"/>
    <w:rsid w:val="5E636240"/>
    <w:rsid w:val="5E7D150A"/>
    <w:rsid w:val="5EAE7678"/>
    <w:rsid w:val="5F473629"/>
    <w:rsid w:val="5F5C70D4"/>
    <w:rsid w:val="5F630463"/>
    <w:rsid w:val="5F7206A6"/>
    <w:rsid w:val="5F791113"/>
    <w:rsid w:val="5F7A755A"/>
    <w:rsid w:val="5FB61600"/>
    <w:rsid w:val="5FC66889"/>
    <w:rsid w:val="5FC70CB8"/>
    <w:rsid w:val="5FCF78A6"/>
    <w:rsid w:val="5FF85648"/>
    <w:rsid w:val="60075E80"/>
    <w:rsid w:val="608F7035"/>
    <w:rsid w:val="609326F1"/>
    <w:rsid w:val="60981AC9"/>
    <w:rsid w:val="60A53D08"/>
    <w:rsid w:val="60C43EB7"/>
    <w:rsid w:val="60D31618"/>
    <w:rsid w:val="60F37C9E"/>
    <w:rsid w:val="612A47CD"/>
    <w:rsid w:val="61554CED"/>
    <w:rsid w:val="61840B64"/>
    <w:rsid w:val="61F76DA2"/>
    <w:rsid w:val="620D2908"/>
    <w:rsid w:val="62141908"/>
    <w:rsid w:val="62285994"/>
    <w:rsid w:val="62F13FD7"/>
    <w:rsid w:val="63224526"/>
    <w:rsid w:val="63BC4BEC"/>
    <w:rsid w:val="64992B79"/>
    <w:rsid w:val="64A5151D"/>
    <w:rsid w:val="64B41760"/>
    <w:rsid w:val="64DE058B"/>
    <w:rsid w:val="652060DB"/>
    <w:rsid w:val="65493C57"/>
    <w:rsid w:val="655132D0"/>
    <w:rsid w:val="655642E1"/>
    <w:rsid w:val="65C71020"/>
    <w:rsid w:val="6608067E"/>
    <w:rsid w:val="6635242D"/>
    <w:rsid w:val="667B2536"/>
    <w:rsid w:val="668C2539"/>
    <w:rsid w:val="66AE597A"/>
    <w:rsid w:val="6711338A"/>
    <w:rsid w:val="67361805"/>
    <w:rsid w:val="67A708BB"/>
    <w:rsid w:val="67F43681"/>
    <w:rsid w:val="68090ABA"/>
    <w:rsid w:val="68543BAD"/>
    <w:rsid w:val="688F34FE"/>
    <w:rsid w:val="68A21019"/>
    <w:rsid w:val="68A96554"/>
    <w:rsid w:val="68AE1889"/>
    <w:rsid w:val="68BD0A9D"/>
    <w:rsid w:val="68C77CB4"/>
    <w:rsid w:val="68F53ABC"/>
    <w:rsid w:val="691B3218"/>
    <w:rsid w:val="69B87C08"/>
    <w:rsid w:val="69BD4DE0"/>
    <w:rsid w:val="69D16EB7"/>
    <w:rsid w:val="69EB79D2"/>
    <w:rsid w:val="6A0D6157"/>
    <w:rsid w:val="6A1F541F"/>
    <w:rsid w:val="6A624B72"/>
    <w:rsid w:val="6A86363E"/>
    <w:rsid w:val="6AD54E94"/>
    <w:rsid w:val="6AD83FFD"/>
    <w:rsid w:val="6AE33B33"/>
    <w:rsid w:val="6B3028C4"/>
    <w:rsid w:val="6B39651C"/>
    <w:rsid w:val="6B715CB5"/>
    <w:rsid w:val="6B76151E"/>
    <w:rsid w:val="6B8E7DA4"/>
    <w:rsid w:val="6BAB4210"/>
    <w:rsid w:val="6BC134D4"/>
    <w:rsid w:val="6BCF2DD3"/>
    <w:rsid w:val="6BFF1513"/>
    <w:rsid w:val="6C154E66"/>
    <w:rsid w:val="6C1D408F"/>
    <w:rsid w:val="6C68212C"/>
    <w:rsid w:val="6C7415B0"/>
    <w:rsid w:val="6C924135"/>
    <w:rsid w:val="6CDB1F80"/>
    <w:rsid w:val="6CE25F6D"/>
    <w:rsid w:val="6CE763D2"/>
    <w:rsid w:val="6D2532D0"/>
    <w:rsid w:val="6D2A7E48"/>
    <w:rsid w:val="6D3276C6"/>
    <w:rsid w:val="6D82071C"/>
    <w:rsid w:val="6DBD4B14"/>
    <w:rsid w:val="6DE25D78"/>
    <w:rsid w:val="6E2D6B02"/>
    <w:rsid w:val="6E661EB7"/>
    <w:rsid w:val="6F1928EC"/>
    <w:rsid w:val="6F54601A"/>
    <w:rsid w:val="6FED5B27"/>
    <w:rsid w:val="707665A9"/>
    <w:rsid w:val="70B25FF8"/>
    <w:rsid w:val="711374C5"/>
    <w:rsid w:val="711A3123"/>
    <w:rsid w:val="711C268D"/>
    <w:rsid w:val="711E68DF"/>
    <w:rsid w:val="71397275"/>
    <w:rsid w:val="713F0604"/>
    <w:rsid w:val="71493231"/>
    <w:rsid w:val="721455EC"/>
    <w:rsid w:val="72635D78"/>
    <w:rsid w:val="72C83548"/>
    <w:rsid w:val="72DF130E"/>
    <w:rsid w:val="730B4C41"/>
    <w:rsid w:val="73DB142D"/>
    <w:rsid w:val="7407365B"/>
    <w:rsid w:val="74145D78"/>
    <w:rsid w:val="74220495"/>
    <w:rsid w:val="74477EFB"/>
    <w:rsid w:val="746F2FAE"/>
    <w:rsid w:val="7475545F"/>
    <w:rsid w:val="748E4EAA"/>
    <w:rsid w:val="74BA74C3"/>
    <w:rsid w:val="74CB0B2C"/>
    <w:rsid w:val="74E042F3"/>
    <w:rsid w:val="75247F64"/>
    <w:rsid w:val="75466405"/>
    <w:rsid w:val="75A17C0F"/>
    <w:rsid w:val="75B72E5F"/>
    <w:rsid w:val="7659605E"/>
    <w:rsid w:val="76612DCA"/>
    <w:rsid w:val="76CE3EE1"/>
    <w:rsid w:val="76D90BB3"/>
    <w:rsid w:val="771340C5"/>
    <w:rsid w:val="77E771FA"/>
    <w:rsid w:val="780B56E4"/>
    <w:rsid w:val="780F4F04"/>
    <w:rsid w:val="783E3A02"/>
    <w:rsid w:val="785B52D1"/>
    <w:rsid w:val="788E0A87"/>
    <w:rsid w:val="78BC1C16"/>
    <w:rsid w:val="79676E75"/>
    <w:rsid w:val="797441C5"/>
    <w:rsid w:val="799F4335"/>
    <w:rsid w:val="79D97847"/>
    <w:rsid w:val="79ED369C"/>
    <w:rsid w:val="7A5073DE"/>
    <w:rsid w:val="7AF622B6"/>
    <w:rsid w:val="7B0C59FB"/>
    <w:rsid w:val="7B273FF1"/>
    <w:rsid w:val="7BC15F99"/>
    <w:rsid w:val="7BE129E3"/>
    <w:rsid w:val="7BEE5100"/>
    <w:rsid w:val="7BF15E4C"/>
    <w:rsid w:val="7C9C555C"/>
    <w:rsid w:val="7CAC7E7B"/>
    <w:rsid w:val="7CBB1F9A"/>
    <w:rsid w:val="7CEA3BD6"/>
    <w:rsid w:val="7D3F41FD"/>
    <w:rsid w:val="7D565AAE"/>
    <w:rsid w:val="7D566576"/>
    <w:rsid w:val="7D5A2F4A"/>
    <w:rsid w:val="7DA77C5D"/>
    <w:rsid w:val="7DBA30C9"/>
    <w:rsid w:val="7DEE1DD0"/>
    <w:rsid w:val="7DF10ED8"/>
    <w:rsid w:val="7E14461A"/>
    <w:rsid w:val="7E22135F"/>
    <w:rsid w:val="7E360904"/>
    <w:rsid w:val="7E3F17B6"/>
    <w:rsid w:val="7E3F39F1"/>
    <w:rsid w:val="7E57680E"/>
    <w:rsid w:val="7E632458"/>
    <w:rsid w:val="7EF20AA2"/>
    <w:rsid w:val="7F4A4D43"/>
    <w:rsid w:val="7F612ABD"/>
    <w:rsid w:val="7F8F2756"/>
    <w:rsid w:val="7F983D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10">
    <w:name w:val="heading 1"/>
    <w:basedOn w:val="1"/>
    <w:next w:val="1"/>
    <w:qFormat/>
    <w:uiPriority w:val="99"/>
    <w:pPr>
      <w:autoSpaceDE w:val="0"/>
      <w:autoSpaceDN w:val="0"/>
      <w:spacing w:before="34"/>
      <w:ind w:right="18"/>
      <w:jc w:val="center"/>
      <w:outlineLvl w:val="0"/>
    </w:pPr>
    <w:rPr>
      <w:rFonts w:ascii="宋体" w:hAnsi="宋体" w:cs="宋体"/>
      <w:b/>
      <w:bCs/>
      <w:kern w:val="0"/>
      <w:sz w:val="32"/>
      <w:szCs w:val="32"/>
      <w:lang w:val="zh-CN"/>
    </w:rPr>
  </w:style>
  <w:style w:type="paragraph" w:styleId="11">
    <w:name w:val="heading 2"/>
    <w:basedOn w:val="1"/>
    <w:next w:val="1"/>
    <w:link w:val="27"/>
    <w:qFormat/>
    <w:uiPriority w:val="99"/>
    <w:pPr>
      <w:autoSpaceDE w:val="0"/>
      <w:autoSpaceDN w:val="0"/>
      <w:ind w:left="1339"/>
      <w:jc w:val="left"/>
      <w:outlineLvl w:val="1"/>
    </w:pPr>
    <w:rPr>
      <w:rFonts w:ascii="黑体" w:hAnsi="黑体" w:eastAsia="黑体" w:cs="黑体"/>
      <w:kern w:val="0"/>
      <w:sz w:val="32"/>
      <w:szCs w:val="32"/>
      <w:lang w:val="zh-CN"/>
    </w:rPr>
  </w:style>
  <w:style w:type="paragraph" w:styleId="12">
    <w:name w:val="heading 3"/>
    <w:basedOn w:val="1"/>
    <w:next w:val="1"/>
    <w:qFormat/>
    <w:uiPriority w:val="0"/>
    <w:pPr>
      <w:keepNext/>
      <w:numPr>
        <w:ilvl w:val="2"/>
        <w:numId w:val="1"/>
      </w:numPr>
      <w:spacing w:before="120" w:after="120"/>
      <w:outlineLvl w:val="2"/>
    </w:pPr>
    <w:rPr>
      <w:b/>
      <w:bCs/>
      <w:sz w:val="30"/>
      <w:szCs w:val="32"/>
      <w:lang w:val="zh-CN"/>
    </w:rPr>
  </w:style>
  <w:style w:type="paragraph" w:styleId="13">
    <w:name w:val="heading 4"/>
    <w:basedOn w:val="1"/>
    <w:next w:val="1"/>
    <w:qFormat/>
    <w:uiPriority w:val="99"/>
    <w:pPr>
      <w:autoSpaceDE w:val="0"/>
      <w:autoSpaceDN w:val="0"/>
      <w:ind w:left="703" w:hanging="485"/>
      <w:jc w:val="left"/>
      <w:outlineLvl w:val="3"/>
    </w:pPr>
    <w:rPr>
      <w:rFonts w:ascii="宋体" w:hAnsi="宋体" w:cs="宋体"/>
      <w:b/>
      <w:bCs/>
      <w:kern w:val="0"/>
      <w:sz w:val="24"/>
      <w:lang w:val="zh-CN"/>
    </w:rPr>
  </w:style>
  <w:style w:type="paragraph" w:styleId="14">
    <w:name w:val="heading 5"/>
    <w:basedOn w:val="1"/>
    <w:next w:val="1"/>
    <w:qFormat/>
    <w:uiPriority w:val="99"/>
    <w:pPr>
      <w:autoSpaceDE w:val="0"/>
      <w:autoSpaceDN w:val="0"/>
      <w:spacing w:before="161"/>
      <w:ind w:left="2709"/>
      <w:jc w:val="left"/>
      <w:outlineLvl w:val="4"/>
    </w:pPr>
    <w:rPr>
      <w:rFonts w:ascii="宋体" w:hAnsi="宋体" w:cs="宋体"/>
      <w:kern w:val="0"/>
      <w:sz w:val="24"/>
      <w:lang w:val="zh-CN"/>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7"/>
    <w:qFormat/>
    <w:uiPriority w:val="99"/>
    <w:pPr>
      <w:spacing w:after="120"/>
      <w:ind w:firstLine="420" w:firstLineChars="100"/>
    </w:pPr>
    <w:rPr>
      <w:rFonts w:ascii="Times New Roman" w:hAnsi="Times New Roman"/>
      <w:szCs w:val="20"/>
    </w:rPr>
  </w:style>
  <w:style w:type="paragraph" w:styleId="3">
    <w:name w:val="Body Text"/>
    <w:basedOn w:val="1"/>
    <w:next w:val="4"/>
    <w:qFormat/>
    <w:uiPriority w:val="99"/>
    <w:pPr>
      <w:autoSpaceDE w:val="0"/>
      <w:autoSpaceDN w:val="0"/>
      <w:jc w:val="left"/>
    </w:pPr>
    <w:rPr>
      <w:rFonts w:ascii="宋体" w:hAnsi="宋体" w:cs="宋体"/>
      <w:kern w:val="0"/>
      <w:szCs w:val="21"/>
      <w:lang w:val="zh-CN"/>
    </w:rPr>
  </w:style>
  <w:style w:type="paragraph" w:customStyle="1" w:styleId="4">
    <w:name w:val="Default"/>
    <w:basedOn w:val="5"/>
    <w:next w:val="1"/>
    <w:qFormat/>
    <w:uiPriority w:val="0"/>
    <w:pPr>
      <w:autoSpaceDE w:val="0"/>
      <w:autoSpaceDN w:val="0"/>
      <w:adjustRightInd w:val="0"/>
    </w:pPr>
    <w:rPr>
      <w:rFonts w:ascii="宋体" w:hAnsi="Calibri" w:cs="宋体"/>
      <w:color w:val="000000"/>
      <w:sz w:val="24"/>
      <w:szCs w:val="24"/>
    </w:rPr>
  </w:style>
  <w:style w:type="paragraph" w:styleId="5">
    <w:name w:val="Plain Text"/>
    <w:basedOn w:val="1"/>
    <w:next w:val="6"/>
    <w:qFormat/>
    <w:uiPriority w:val="0"/>
    <w:rPr>
      <w:rFonts w:ascii="Courier New" w:hAnsi="Courier New"/>
      <w:szCs w:val="20"/>
    </w:rPr>
  </w:style>
  <w:style w:type="paragraph" w:styleId="6">
    <w:name w:val="toc 5"/>
    <w:basedOn w:val="1"/>
    <w:next w:val="1"/>
    <w:semiHidden/>
    <w:qFormat/>
    <w:uiPriority w:val="0"/>
    <w:pPr>
      <w:ind w:left="840"/>
      <w:jc w:val="left"/>
    </w:pPr>
    <w:rPr>
      <w:sz w:val="18"/>
      <w:szCs w:val="18"/>
    </w:rPr>
  </w:style>
  <w:style w:type="paragraph" w:styleId="7">
    <w:name w:val="Body Text First Indent 2"/>
    <w:basedOn w:val="8"/>
    <w:next w:val="1"/>
    <w:unhideWhenUsed/>
    <w:qFormat/>
    <w:uiPriority w:val="99"/>
    <w:pPr>
      <w:ind w:firstLine="420" w:firstLineChars="200"/>
    </w:pPr>
  </w:style>
  <w:style w:type="paragraph" w:styleId="8">
    <w:name w:val="Body Text Indent"/>
    <w:basedOn w:val="1"/>
    <w:next w:val="9"/>
    <w:unhideWhenUsed/>
    <w:qFormat/>
    <w:uiPriority w:val="99"/>
    <w:pPr>
      <w:autoSpaceDE w:val="0"/>
      <w:autoSpaceDN w:val="0"/>
      <w:spacing w:after="120"/>
      <w:ind w:left="420" w:leftChars="200"/>
      <w:jc w:val="left"/>
    </w:pPr>
    <w:rPr>
      <w:rFonts w:ascii="宋体" w:hAnsi="宋体" w:cs="宋体"/>
      <w:kern w:val="0"/>
      <w:sz w:val="22"/>
      <w:lang w:val="zh-CN"/>
    </w:rPr>
  </w:style>
  <w:style w:type="paragraph" w:styleId="9">
    <w:name w:val="envelope return"/>
    <w:basedOn w:val="1"/>
    <w:qFormat/>
    <w:uiPriority w:val="0"/>
    <w:pPr>
      <w:snapToGrid w:val="0"/>
    </w:pPr>
    <w:rPr>
      <w:rFonts w:ascii="Arial" w:hAnsi="Arial"/>
    </w:rPr>
  </w:style>
  <w:style w:type="paragraph" w:styleId="15">
    <w:name w:val="Normal Indent"/>
    <w:basedOn w:val="1"/>
    <w:next w:val="16"/>
    <w:qFormat/>
    <w:uiPriority w:val="0"/>
    <w:pPr>
      <w:widowControl/>
      <w:spacing w:before="100" w:beforeAutospacing="1" w:after="100" w:afterAutospacing="1"/>
      <w:jc w:val="left"/>
    </w:pPr>
    <w:rPr>
      <w:rFonts w:ascii="宋体" w:hAnsi="宋体" w:cs="宋体"/>
      <w:kern w:val="0"/>
      <w:sz w:val="24"/>
    </w:rPr>
  </w:style>
  <w:style w:type="paragraph" w:styleId="16">
    <w:name w:val="Body Text 2"/>
    <w:basedOn w:val="1"/>
    <w:next w:val="3"/>
    <w:unhideWhenUsed/>
    <w:qFormat/>
    <w:uiPriority w:val="99"/>
    <w:pPr>
      <w:widowControl/>
      <w:spacing w:before="100" w:beforeAutospacing="1" w:after="100" w:afterAutospacing="1"/>
      <w:jc w:val="left"/>
    </w:pPr>
    <w:rPr>
      <w:rFonts w:ascii="宋体" w:hAnsi="宋体"/>
      <w:kern w:val="0"/>
      <w:sz w:val="24"/>
    </w:rPr>
  </w:style>
  <w:style w:type="paragraph" w:styleId="17">
    <w:name w:val="annotation text"/>
    <w:basedOn w:val="1"/>
    <w:qFormat/>
    <w:uiPriority w:val="0"/>
    <w:pPr>
      <w:jc w:val="left"/>
    </w:pPr>
  </w:style>
  <w:style w:type="paragraph" w:styleId="18">
    <w:name w:val="List 2"/>
    <w:basedOn w:val="1"/>
    <w:qFormat/>
    <w:uiPriority w:val="99"/>
    <w:pPr>
      <w:autoSpaceDE w:val="0"/>
      <w:autoSpaceDN w:val="0"/>
      <w:ind w:left="100" w:leftChars="200" w:hanging="200" w:hangingChars="200"/>
      <w:contextualSpacing/>
      <w:jc w:val="left"/>
    </w:pPr>
    <w:rPr>
      <w:rFonts w:ascii="宋体" w:hAnsi="宋体" w:cs="宋体"/>
      <w:kern w:val="0"/>
      <w:sz w:val="22"/>
      <w:lang w:val="zh-CN"/>
    </w:rPr>
  </w:style>
  <w:style w:type="paragraph" w:styleId="19">
    <w:name w:val="Body Text Indent 2"/>
    <w:basedOn w:val="1"/>
    <w:next w:val="1"/>
    <w:qFormat/>
    <w:uiPriority w:val="99"/>
    <w:pPr>
      <w:autoSpaceDE w:val="0"/>
      <w:autoSpaceDN w:val="0"/>
      <w:ind w:firstLine="570"/>
      <w:jc w:val="left"/>
    </w:pPr>
    <w:rPr>
      <w:rFonts w:ascii="宋体" w:hAnsi="宋体" w:cs="宋体"/>
      <w:kern w:val="0"/>
      <w:sz w:val="32"/>
      <w:szCs w:val="32"/>
      <w:lang w:val="zh-CN"/>
    </w:rPr>
  </w:style>
  <w:style w:type="paragraph" w:styleId="20">
    <w:name w:val="footer"/>
    <w:basedOn w:val="1"/>
    <w:unhideWhenUsed/>
    <w:qFormat/>
    <w:uiPriority w:val="99"/>
    <w:pPr>
      <w:tabs>
        <w:tab w:val="center" w:pos="4153"/>
        <w:tab w:val="right" w:pos="8306"/>
      </w:tabs>
      <w:snapToGrid w:val="0"/>
      <w:jc w:val="left"/>
    </w:pPr>
    <w:rPr>
      <w:sz w:val="18"/>
      <w:szCs w:val="18"/>
    </w:rPr>
  </w:style>
  <w:style w:type="paragraph" w:styleId="2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99"/>
    <w:pPr>
      <w:autoSpaceDE w:val="0"/>
      <w:autoSpaceDN w:val="0"/>
      <w:spacing w:before="3"/>
      <w:ind w:left="430"/>
      <w:jc w:val="left"/>
    </w:pPr>
    <w:rPr>
      <w:rFonts w:ascii="宋体" w:hAnsi="宋体" w:cs="宋体"/>
      <w:kern w:val="0"/>
      <w:sz w:val="20"/>
      <w:szCs w:val="20"/>
      <w:lang w:val="zh-CN"/>
    </w:rPr>
  </w:style>
  <w:style w:type="paragraph" w:styleId="23">
    <w:name w:val="Normal (Web)"/>
    <w:basedOn w:val="1"/>
    <w:qFormat/>
    <w:uiPriority w:val="99"/>
    <w:pPr>
      <w:widowControl/>
      <w:spacing w:before="100" w:beforeAutospacing="1" w:after="100" w:afterAutospacing="1"/>
      <w:jc w:val="left"/>
    </w:pPr>
    <w:rPr>
      <w:rFonts w:ascii="宋体" w:hAnsi="宋体"/>
      <w:kern w:val="0"/>
      <w:sz w:val="24"/>
    </w:rPr>
  </w:style>
  <w:style w:type="character" w:styleId="26">
    <w:name w:val="Strong"/>
    <w:qFormat/>
    <w:uiPriority w:val="22"/>
    <w:rPr>
      <w:b/>
      <w:bCs/>
    </w:rPr>
  </w:style>
  <w:style w:type="character" w:customStyle="1" w:styleId="27">
    <w:name w:val="标题 2 Char"/>
    <w:link w:val="11"/>
    <w:qFormat/>
    <w:uiPriority w:val="0"/>
    <w:rPr>
      <w:rFonts w:ascii="黑体" w:hAnsi="黑体" w:eastAsia="黑体" w:cs="黑体"/>
      <w:kern w:val="0"/>
      <w:sz w:val="32"/>
      <w:szCs w:val="32"/>
      <w:lang w:val="zh-CN"/>
    </w:rPr>
  </w:style>
  <w:style w:type="paragraph" w:customStyle="1" w:styleId="28">
    <w:name w:val="Body Text 21"/>
    <w:basedOn w:val="1"/>
    <w:qFormat/>
    <w:uiPriority w:val="0"/>
    <w:pPr>
      <w:spacing w:after="120" w:line="480" w:lineRule="auto"/>
    </w:pPr>
    <w:rPr>
      <w:kern w:val="0"/>
      <w:sz w:val="24"/>
      <w:szCs w:val="20"/>
    </w:rPr>
  </w:style>
  <w:style w:type="paragraph" w:customStyle="1" w:styleId="29">
    <w:name w:val="No Spacing1"/>
    <w:basedOn w:val="1"/>
    <w:qFormat/>
    <w:uiPriority w:val="0"/>
    <w:pPr>
      <w:autoSpaceDE w:val="0"/>
      <w:autoSpaceDN w:val="0"/>
      <w:spacing w:line="400" w:lineRule="exact"/>
      <w:jc w:val="left"/>
    </w:pPr>
    <w:rPr>
      <w:rFonts w:ascii="宋体" w:hAnsi="宋体" w:cs="宋体"/>
      <w:kern w:val="0"/>
      <w:sz w:val="24"/>
      <w:lang w:val="zh-CN"/>
    </w:rPr>
  </w:style>
  <w:style w:type="paragraph" w:customStyle="1" w:styleId="30">
    <w:name w:val="cjk"/>
    <w:basedOn w:val="1"/>
    <w:qFormat/>
    <w:uiPriority w:val="0"/>
    <w:pPr>
      <w:widowControl/>
      <w:spacing w:line="480" w:lineRule="auto"/>
      <w:jc w:val="left"/>
    </w:pPr>
    <w:rPr>
      <w:rFonts w:ascii="宋体" w:hAnsi="宋体" w:cs="宋体"/>
      <w:kern w:val="0"/>
      <w:sz w:val="24"/>
    </w:rPr>
  </w:style>
  <w:style w:type="paragraph" w:styleId="31">
    <w:name w:val="List Paragraph"/>
    <w:basedOn w:val="1"/>
    <w:qFormat/>
    <w:uiPriority w:val="99"/>
    <w:pPr>
      <w:autoSpaceDE w:val="0"/>
      <w:autoSpaceDN w:val="0"/>
      <w:ind w:left="218" w:hanging="529"/>
      <w:jc w:val="left"/>
    </w:pPr>
    <w:rPr>
      <w:rFonts w:ascii="宋体" w:hAnsi="宋体" w:cs="宋体"/>
      <w:kern w:val="0"/>
      <w:sz w:val="22"/>
      <w:lang w:val="zh-CN"/>
    </w:rPr>
  </w:style>
  <w:style w:type="paragraph" w:customStyle="1" w:styleId="32">
    <w:name w:val="Table Paragraph"/>
    <w:basedOn w:val="1"/>
    <w:qFormat/>
    <w:uiPriority w:val="99"/>
    <w:pPr>
      <w:autoSpaceDE w:val="0"/>
      <w:autoSpaceDN w:val="0"/>
      <w:jc w:val="left"/>
    </w:pPr>
    <w:rPr>
      <w:rFonts w:ascii="宋体" w:hAnsi="宋体" w:cs="宋体"/>
      <w:kern w:val="0"/>
      <w:sz w:val="22"/>
      <w:lang w:val="zh-CN"/>
    </w:rPr>
  </w:style>
  <w:style w:type="character" w:customStyle="1" w:styleId="33">
    <w:name w:val="NormalCharacter"/>
    <w:qFormat/>
    <w:uiPriority w:val="0"/>
    <w:rPr>
      <w:kern w:val="2"/>
      <w:sz w:val="21"/>
      <w:szCs w:val="22"/>
      <w:lang w:val="en-US" w:eastAsia="zh-CN" w:bidi="ar-SA"/>
    </w:rPr>
  </w:style>
  <w:style w:type="paragraph" w:customStyle="1" w:styleId="34">
    <w:name w:val="表格文字"/>
    <w:basedOn w:val="35"/>
    <w:qFormat/>
    <w:uiPriority w:val="0"/>
    <w:pPr>
      <w:spacing w:before="25" w:after="25"/>
      <w:ind w:firstLine="0"/>
      <w:jc w:val="left"/>
    </w:pPr>
    <w:rPr>
      <w:bCs/>
      <w:spacing w:val="10"/>
      <w:kern w:val="0"/>
      <w:sz w:val="24"/>
    </w:rPr>
  </w:style>
  <w:style w:type="paragraph" w:customStyle="1" w:styleId="35">
    <w:name w:val="表格文字图表文字"/>
    <w:basedOn w:val="1"/>
    <w:qFormat/>
    <w:uiPriority w:val="0"/>
    <w:pPr>
      <w:snapToGrid w:val="0"/>
      <w:ind w:firstLine="200" w:firstLineChars="200"/>
      <w:jc w:val="center"/>
    </w:pPr>
    <w:rPr>
      <w:color w:val="7030A0"/>
    </w:rPr>
  </w:style>
  <w:style w:type="paragraph" w:customStyle="1" w:styleId="36">
    <w:name w:val="style4"/>
    <w:basedOn w:val="1"/>
    <w:next w:val="37"/>
    <w:qFormat/>
    <w:uiPriority w:val="0"/>
    <w:pPr>
      <w:widowControl/>
      <w:spacing w:before="280" w:after="280"/>
    </w:pPr>
    <w:rPr>
      <w:sz w:val="18"/>
    </w:rPr>
  </w:style>
  <w:style w:type="paragraph" w:customStyle="1" w:styleId="37">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38">
    <w:name w:val="无间隔1"/>
    <w:basedOn w:val="1"/>
    <w:qFormat/>
    <w:uiPriority w:val="99"/>
    <w:pPr>
      <w:spacing w:line="400" w:lineRule="exact"/>
    </w:pPr>
    <w:rPr>
      <w:sz w:val="24"/>
    </w:rPr>
  </w:style>
  <w:style w:type="paragraph" w:customStyle="1" w:styleId="39">
    <w:name w:val="null3"/>
    <w:qFormat/>
    <w:uiPriority w:val="0"/>
    <w:rPr>
      <w:rFonts w:hint="eastAsia" w:ascii="Calibri" w:hAnsi="Calibri" w:eastAsia="宋体" w:cs="Times New Roman"/>
      <w:lang w:val="en-US" w:eastAsia="zh-CN" w:bidi="ar-SA"/>
    </w:rPr>
  </w:style>
  <w:style w:type="paragraph" w:customStyle="1" w:styleId="4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Heading2"/>
    <w:basedOn w:val="1"/>
    <w:next w:val="1"/>
    <w:qFormat/>
    <w:uiPriority w:val="0"/>
    <w:pPr>
      <w:keepNext/>
      <w:keepLines/>
      <w:spacing w:before="120" w:after="120" w:line="360" w:lineRule="auto"/>
      <w:jc w:val="center"/>
    </w:pPr>
    <w:rPr>
      <w:rFonts w:ascii="Arial" w:hAnsi="Arial" w:eastAsia="黑体"/>
      <w:b/>
      <w:bCs/>
      <w:color w:val="000000"/>
      <w:sz w:val="32"/>
      <w:szCs w:val="32"/>
    </w:rPr>
  </w:style>
  <w:style w:type="paragraph" w:customStyle="1" w:styleId="42">
    <w:name w:val="Table Text"/>
    <w:basedOn w:val="1"/>
    <w:semiHidden/>
    <w:qFormat/>
    <w:uiPriority w:val="0"/>
    <w:rPr>
      <w:rFonts w:ascii="宋体" w:hAnsi="宋体" w:cs="宋体"/>
      <w:sz w:val="24"/>
      <w:lang w:eastAsia="en-US"/>
    </w:rPr>
  </w:style>
  <w:style w:type="table" w:customStyle="1" w:styleId="43">
    <w:name w:val="Table Normal"/>
    <w:unhideWhenUsed/>
    <w:qFormat/>
    <w:uiPriority w:val="0"/>
    <w:tblPr>
      <w:tblCellMar>
        <w:top w:w="0" w:type="dxa"/>
        <w:left w:w="0" w:type="dxa"/>
        <w:bottom w:w="0" w:type="dxa"/>
        <w:right w:w="0" w:type="dxa"/>
      </w:tblCellMar>
    </w:tblPr>
  </w:style>
  <w:style w:type="character" w:customStyle="1" w:styleId="44">
    <w:name w:val="font51"/>
    <w:basedOn w:val="25"/>
    <w:qFormat/>
    <w:uiPriority w:val="0"/>
    <w:rPr>
      <w:rFonts w:hint="eastAsia" w:ascii="宋体" w:hAnsi="宋体" w:eastAsia="宋体" w:cs="宋体"/>
      <w:color w:val="000000"/>
      <w:sz w:val="24"/>
      <w:szCs w:val="24"/>
      <w:u w:val="none"/>
    </w:rPr>
  </w:style>
  <w:style w:type="paragraph" w:customStyle="1" w:styleId="45">
    <w:name w:val="标书页脚"/>
    <w:basedOn w:val="20"/>
    <w:qFormat/>
    <w:uiPriority w:val="0"/>
    <w:pPr>
      <w:pBdr>
        <w:top w:val="double" w:color="000080" w:sz="4" w:space="1"/>
      </w:pBdr>
    </w:pPr>
    <w:rPr>
      <w:color w:val="000080"/>
    </w:rPr>
  </w:style>
  <w:style w:type="paragraph" w:customStyle="1" w:styleId="46">
    <w:name w:val="Body text|1"/>
    <w:qFormat/>
    <w:uiPriority w:val="0"/>
    <w:pPr>
      <w:widowControl w:val="0"/>
      <w:spacing w:line="456" w:lineRule="auto"/>
      <w:ind w:firstLine="400"/>
      <w:jc w:val="both"/>
    </w:pPr>
    <w:rPr>
      <w:rFonts w:ascii="宋体" w:hAnsi="宋体" w:eastAsia="宋体" w:cs="宋体"/>
      <w:color w:val="1E1E1E"/>
      <w:kern w:val="2"/>
      <w:sz w:val="28"/>
      <w:szCs w:val="28"/>
      <w:lang w:val="zh-TW" w:eastAsia="zh-TW" w:bidi="zh-TW"/>
    </w:rPr>
  </w:style>
  <w:style w:type="character" w:customStyle="1" w:styleId="47">
    <w:name w:val="font131"/>
    <w:qFormat/>
    <w:uiPriority w:val="0"/>
    <w:rPr>
      <w:rFonts w:ascii="Arial" w:hAnsi="Arial" w:cs="Arial"/>
      <w:color w:val="000000"/>
      <w:sz w:val="18"/>
      <w:szCs w:val="18"/>
      <w:u w:val="none"/>
    </w:rPr>
  </w:style>
  <w:style w:type="character" w:customStyle="1" w:styleId="48">
    <w:name w:val="font41"/>
    <w:qFormat/>
    <w:uiPriority w:val="0"/>
    <w:rPr>
      <w:rFonts w:hint="eastAsia" w:ascii="宋体" w:hAnsi="宋体" w:eastAsia="宋体" w:cs="宋体"/>
      <w:color w:val="000000"/>
      <w:sz w:val="20"/>
      <w:szCs w:val="20"/>
      <w:u w:val="none"/>
    </w:rPr>
  </w:style>
  <w:style w:type="character" w:customStyle="1" w:styleId="49">
    <w:name w:val="font61"/>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dataSourceCollection xmlns="http://www.yonyou.com/datasource"/>
</file>

<file path=customXml/item3.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10DB37-20DD-4BDA-95DE-6E5673E284A9}">
  <ds:schemaRefs/>
</ds:datastoreItem>
</file>

<file path=customXml/itemProps3.xml><?xml version="1.0" encoding="utf-8"?>
<ds:datastoreItem xmlns:ds="http://schemas.openxmlformats.org/officeDocument/2006/customXml" ds:itemID="{30EBE471-E443-4DBF-8CE1-E0821452209F}">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87315</Words>
  <Characters>98352</Characters>
  <Lines>749</Lines>
  <Paragraphs>210</Paragraphs>
  <TotalTime>0</TotalTime>
  <ScaleCrop>false</ScaleCrop>
  <LinksUpToDate>false</LinksUpToDate>
  <CharactersWithSpaces>99920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2025-01-10T03:16:00Z</dcterms:created>
  <dc:creator>Administrator</dc:creator>
  <cp:lastModifiedBy>明阳</cp:lastModifiedBy>
  <cp:lastPrinted>2025-10-24T09:24:00Z</cp:lastPrinted>
  <dcterms:modified xsi:type="dcterms:W3CDTF">2025-11-03T08:43:27Z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B3A3BB6F886248FB991F9B325481B7CE_12</vt:lpwstr>
  </property>
  <property fmtid="{D5CDD505-2E9C-101B-9397-08002B2CF9AE}" pid="4" name="KSOTemplateDocerSaveRecord">
    <vt:lpwstr>eyJoZGlkIjoiZmRjNzUzZWY1Mjk1ZjY4ZWU0OTIxODVlZjk4NzU0MjQiLCJ1c2VySWQiOiI2MDk3MTQyOTEifQ==</vt:lpwstr>
  </property>
</Properties>
</file>